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4027F2" w14:textId="77777777" w:rsidR="00325FB4" w:rsidRDefault="00325FB4">
      <w:pPr>
        <w:spacing w:after="160" w:line="259" w:lineRule="auto"/>
      </w:pPr>
    </w:p>
    <w:p w14:paraId="643E37F3" w14:textId="77777777" w:rsidR="00325FB4" w:rsidRDefault="00325FB4">
      <w:pPr>
        <w:spacing w:after="160" w:line="259" w:lineRule="auto"/>
      </w:pPr>
    </w:p>
    <w:p w14:paraId="7BD60D49" w14:textId="56A63EB8" w:rsidR="00325FB4" w:rsidRDefault="00325FB4">
      <w:pPr>
        <w:spacing w:after="160" w:line="259" w:lineRule="auto"/>
      </w:pPr>
    </w:p>
    <w:p w14:paraId="42C0FF45" w14:textId="77777777" w:rsidR="00325FB4" w:rsidRDefault="00325FB4">
      <w:pPr>
        <w:spacing w:after="160" w:line="259" w:lineRule="auto"/>
      </w:pPr>
    </w:p>
    <w:p w14:paraId="773DA347" w14:textId="77777777" w:rsidR="00325FB4" w:rsidRDefault="00325FB4">
      <w:pPr>
        <w:spacing w:after="160" w:line="259" w:lineRule="auto"/>
      </w:pPr>
    </w:p>
    <w:p w14:paraId="30A931FA" w14:textId="77777777" w:rsidR="00325FB4" w:rsidRDefault="00325FB4">
      <w:pPr>
        <w:spacing w:after="160" w:line="259" w:lineRule="auto"/>
      </w:pPr>
    </w:p>
    <w:p w14:paraId="1F49657A" w14:textId="77777777" w:rsidR="00325FB4" w:rsidRDefault="00325FB4">
      <w:pPr>
        <w:spacing w:after="160" w:line="259" w:lineRule="auto"/>
      </w:pPr>
    </w:p>
    <w:p w14:paraId="2317B28F" w14:textId="096C3DBF" w:rsidR="00A6150B" w:rsidRDefault="00FD0A85" w:rsidP="00325FB4">
      <w:pPr>
        <w:pStyle w:val="Heading2"/>
        <w:spacing w:before="0"/>
        <w:rPr>
          <w:rFonts w:eastAsia="Arial"/>
          <w:b/>
          <w:sz w:val="36"/>
          <w:szCs w:val="36"/>
        </w:rPr>
      </w:pPr>
      <w:bookmarkStart w:id="0" w:name="_Hlk66341582"/>
      <w:r>
        <w:rPr>
          <w:rFonts w:eastAsia="Arial"/>
          <w:b/>
          <w:sz w:val="36"/>
          <w:szCs w:val="36"/>
        </w:rPr>
        <w:t xml:space="preserve">National Grid SAP </w:t>
      </w:r>
      <w:bookmarkEnd w:id="0"/>
      <w:r w:rsidR="00644616">
        <w:rPr>
          <w:rFonts w:eastAsia="Arial"/>
          <w:b/>
          <w:sz w:val="36"/>
          <w:szCs w:val="36"/>
        </w:rPr>
        <w:t>Adoption</w:t>
      </w:r>
      <w:r w:rsidR="00D83808">
        <w:rPr>
          <w:rFonts w:eastAsia="Arial"/>
          <w:b/>
          <w:sz w:val="36"/>
          <w:szCs w:val="36"/>
        </w:rPr>
        <w:t xml:space="preserve"> Case Study</w:t>
      </w:r>
    </w:p>
    <w:p w14:paraId="37133866" w14:textId="6071EEB0" w:rsidR="00325FB4" w:rsidRDefault="00325FB4">
      <w:pPr>
        <w:spacing w:after="160" w:line="259" w:lineRule="auto"/>
      </w:pPr>
    </w:p>
    <w:p w14:paraId="0DDECB34" w14:textId="372647A2" w:rsidR="00D83808" w:rsidRDefault="00D83808">
      <w:pPr>
        <w:spacing w:after="160" w:line="259" w:lineRule="auto"/>
      </w:pPr>
    </w:p>
    <w:p w14:paraId="40107BFE" w14:textId="77777777" w:rsidR="00D83808" w:rsidRPr="00CA161B" w:rsidRDefault="00D83808" w:rsidP="00D83808">
      <w:pPr>
        <w:pStyle w:val="Heading2"/>
        <w:rPr>
          <w:rFonts w:eastAsia="Arial" w:cstheme="majorHAnsi"/>
          <w:b/>
          <w:bCs/>
          <w:sz w:val="36"/>
          <w:szCs w:val="36"/>
        </w:rPr>
      </w:pPr>
      <w:r w:rsidRPr="00CA161B">
        <w:rPr>
          <w:rFonts w:cstheme="majorHAnsi"/>
          <w:b/>
          <w:bCs/>
          <w:sz w:val="36"/>
          <w:szCs w:val="36"/>
        </w:rPr>
        <w:t>Bastian Tenbergen</w:t>
      </w:r>
      <w:r w:rsidRPr="00CA161B">
        <w:rPr>
          <w:rFonts w:cstheme="majorHAnsi"/>
          <w:b/>
          <w:bCs/>
          <w:sz w:val="36"/>
          <w:szCs w:val="36"/>
        </w:rPr>
        <w:tab/>
      </w:r>
    </w:p>
    <w:p w14:paraId="541F8030" w14:textId="77777777" w:rsidR="00325FB4" w:rsidRDefault="00325FB4">
      <w:pPr>
        <w:spacing w:after="160" w:line="259" w:lineRule="auto"/>
      </w:pPr>
    </w:p>
    <w:p w14:paraId="391A7604" w14:textId="77777777" w:rsidR="00325FB4" w:rsidRDefault="00325FB4">
      <w:pPr>
        <w:spacing w:after="160" w:line="259" w:lineRule="auto"/>
      </w:pPr>
    </w:p>
    <w:p w14:paraId="5889A98D" w14:textId="77777777" w:rsidR="00325FB4" w:rsidRDefault="00325FB4">
      <w:pPr>
        <w:spacing w:after="160" w:line="259" w:lineRule="auto"/>
      </w:pPr>
    </w:p>
    <w:p w14:paraId="42BCE6DC" w14:textId="77777777" w:rsidR="00325FB4" w:rsidRDefault="00325FB4">
      <w:pPr>
        <w:spacing w:after="160" w:line="259" w:lineRule="auto"/>
      </w:pPr>
    </w:p>
    <w:p w14:paraId="593D3F36" w14:textId="1C6B03EA" w:rsidR="00325FB4" w:rsidRPr="00325FB4" w:rsidRDefault="0069725E">
      <w:pPr>
        <w:spacing w:after="160" w:line="259" w:lineRule="auto"/>
        <w:rPr>
          <w:rFonts w:asciiTheme="minorHAnsi" w:hAnsiTheme="minorHAnsi" w:cstheme="minorHAnsi"/>
          <w:b/>
          <w:bCs/>
        </w:rPr>
      </w:pPr>
      <w:r>
        <w:rPr>
          <w:rFonts w:asciiTheme="minorHAnsi" w:hAnsiTheme="minorHAnsi" w:cstheme="minorHAnsi"/>
          <w:b/>
          <w:bCs/>
        </w:rPr>
        <w:t>April</w:t>
      </w:r>
      <w:r w:rsidR="00A6150B">
        <w:rPr>
          <w:rFonts w:asciiTheme="minorHAnsi" w:hAnsiTheme="minorHAnsi" w:cstheme="minorHAnsi"/>
          <w:b/>
          <w:bCs/>
        </w:rPr>
        <w:t xml:space="preserve"> 2021</w:t>
      </w:r>
      <w:r w:rsidR="00325FB4" w:rsidRPr="00325FB4">
        <w:rPr>
          <w:rFonts w:asciiTheme="minorHAnsi" w:hAnsiTheme="minorHAnsi" w:cstheme="minorHAnsi"/>
          <w:b/>
          <w:bCs/>
        </w:rPr>
        <w:br w:type="page"/>
      </w:r>
    </w:p>
    <w:p w14:paraId="5101EED1" w14:textId="77777777" w:rsidR="00D83808" w:rsidRPr="00325FB4" w:rsidRDefault="00D83808" w:rsidP="00D83808">
      <w:pPr>
        <w:rPr>
          <w:sz w:val="24"/>
          <w:szCs w:val="24"/>
        </w:rPr>
      </w:pPr>
      <w:r w:rsidRPr="00325FB4">
        <w:rPr>
          <w:sz w:val="24"/>
          <w:szCs w:val="24"/>
        </w:rPr>
        <w:lastRenderedPageBreak/>
        <w:t>Copyright 20</w:t>
      </w:r>
      <w:r>
        <w:rPr>
          <w:sz w:val="24"/>
          <w:szCs w:val="24"/>
        </w:rPr>
        <w:t>21</w:t>
      </w:r>
      <w:r w:rsidRPr="00325FB4">
        <w:rPr>
          <w:sz w:val="24"/>
          <w:szCs w:val="24"/>
        </w:rPr>
        <w:t xml:space="preserve"> </w:t>
      </w:r>
      <w:r>
        <w:rPr>
          <w:sz w:val="24"/>
          <w:szCs w:val="24"/>
        </w:rPr>
        <w:t>Bastian Tenbergen. All Rights Reserved.</w:t>
      </w:r>
      <w:r w:rsidRPr="00325FB4">
        <w:rPr>
          <w:sz w:val="24"/>
          <w:szCs w:val="24"/>
        </w:rPr>
        <w:t xml:space="preserve"> </w:t>
      </w:r>
    </w:p>
    <w:p w14:paraId="5233B6F8" w14:textId="77777777" w:rsidR="00D83808" w:rsidRPr="00325FB4" w:rsidRDefault="00D83808" w:rsidP="00D83808">
      <w:pPr>
        <w:rPr>
          <w:sz w:val="24"/>
          <w:szCs w:val="24"/>
        </w:rPr>
      </w:pPr>
    </w:p>
    <w:p w14:paraId="24FF2947" w14:textId="77777777" w:rsidR="00D83808" w:rsidRPr="00325FB4" w:rsidRDefault="00D83808" w:rsidP="00D83808">
      <w:pPr>
        <w:rPr>
          <w:sz w:val="24"/>
          <w:szCs w:val="24"/>
        </w:rPr>
      </w:pPr>
      <w:r w:rsidRPr="00325FB4">
        <w:rPr>
          <w:sz w:val="24"/>
          <w:szCs w:val="24"/>
        </w:rPr>
        <w:t xml:space="preserve">NO WARRANTY </w:t>
      </w:r>
    </w:p>
    <w:p w14:paraId="6BDF52D2" w14:textId="77777777" w:rsidR="00D83808" w:rsidRPr="00325FB4" w:rsidRDefault="00D83808" w:rsidP="00D83808">
      <w:pPr>
        <w:rPr>
          <w:sz w:val="24"/>
          <w:szCs w:val="24"/>
        </w:rPr>
      </w:pPr>
      <w:r w:rsidRPr="00325FB4">
        <w:rPr>
          <w:sz w:val="24"/>
          <w:szCs w:val="24"/>
        </w:rPr>
        <w:t xml:space="preserve">THIS MATERIAL IS FURNISHED ON AN "AS-IS" BASIS. </w:t>
      </w:r>
      <w:r>
        <w:rPr>
          <w:sz w:val="24"/>
          <w:szCs w:val="24"/>
        </w:rPr>
        <w:t xml:space="preserve">THE AUTHOR </w:t>
      </w:r>
      <w:r w:rsidRPr="00325FB4">
        <w:rPr>
          <w:sz w:val="24"/>
          <w:szCs w:val="24"/>
        </w:rPr>
        <w:t xml:space="preserve">MAKES NO WARRANTIES OF ANY KIND, EITHER EXPRESSED OR IMPLIED, AS TO ANY MATTER INCLUDING, BUT NOT LIMITED TO, WARRANTY OF FITNESS FOR PURPOSE OR MERCHANTABILITY, EXCLUSIVITY, OR RESULTS OBTAINED FROM USE OF THE MATERIAL. </w:t>
      </w:r>
      <w:r>
        <w:rPr>
          <w:sz w:val="24"/>
          <w:szCs w:val="24"/>
        </w:rPr>
        <w:t xml:space="preserve">THE AUTHOR </w:t>
      </w:r>
      <w:r w:rsidRPr="00325FB4">
        <w:rPr>
          <w:sz w:val="24"/>
          <w:szCs w:val="24"/>
        </w:rPr>
        <w:t xml:space="preserve">DOES NOT MAKE ANY WARRANTY OF ANY KIND WITH RESPECT TO FREEDOM FROM PATENT, TRADEMARK, OR COPYRIGHT INFRINGEMENT. </w:t>
      </w:r>
    </w:p>
    <w:p w14:paraId="71792DCF" w14:textId="77777777" w:rsidR="00D83808" w:rsidRDefault="00D83808" w:rsidP="00D83808">
      <w:pPr>
        <w:rPr>
          <w:sz w:val="24"/>
          <w:szCs w:val="24"/>
        </w:rPr>
      </w:pPr>
    </w:p>
    <w:p w14:paraId="50DF5137" w14:textId="77777777" w:rsidR="00D83808" w:rsidRPr="00325FB4" w:rsidRDefault="00D83808" w:rsidP="00D83808">
      <w:pPr>
        <w:rPr>
          <w:sz w:val="24"/>
          <w:szCs w:val="24"/>
        </w:rPr>
      </w:pPr>
      <w:r w:rsidRPr="00325FB4">
        <w:rPr>
          <w:sz w:val="24"/>
          <w:szCs w:val="24"/>
        </w:rPr>
        <w:t xml:space="preserve">Use of any trademarks in this report is not intended in any way to infringe on the rights of the trademark holder. </w:t>
      </w:r>
    </w:p>
    <w:p w14:paraId="223B7DEE" w14:textId="77777777" w:rsidR="00D83808" w:rsidRDefault="00D83808" w:rsidP="00D83808">
      <w:pPr>
        <w:rPr>
          <w:sz w:val="24"/>
          <w:szCs w:val="24"/>
        </w:rPr>
      </w:pPr>
    </w:p>
    <w:p w14:paraId="5F5AC9DB" w14:textId="77777777" w:rsidR="00D83808" w:rsidRPr="00325FB4" w:rsidRDefault="00D83808" w:rsidP="00D83808">
      <w:pPr>
        <w:rPr>
          <w:sz w:val="24"/>
          <w:szCs w:val="24"/>
        </w:rPr>
      </w:pPr>
      <w:r w:rsidRPr="00325FB4">
        <w:rPr>
          <w:sz w:val="24"/>
          <w:szCs w:val="24"/>
        </w:rPr>
        <w:t>Internal use. Permission to reproduce this document and to prepare derivative works from this document for internal use is granted, provided the copyright and “No Warranty” statements are included with all reproductions and derivative works.</w:t>
      </w:r>
    </w:p>
    <w:p w14:paraId="38FED1D1" w14:textId="77777777" w:rsidR="00D83808" w:rsidRDefault="00D83808" w:rsidP="00D83808">
      <w:pPr>
        <w:rPr>
          <w:sz w:val="24"/>
          <w:szCs w:val="24"/>
        </w:rPr>
      </w:pPr>
    </w:p>
    <w:p w14:paraId="22C4110D" w14:textId="77777777" w:rsidR="00D83808" w:rsidRPr="00325FB4" w:rsidRDefault="00D83808" w:rsidP="00D83808">
      <w:pPr>
        <w:rPr>
          <w:sz w:val="24"/>
          <w:szCs w:val="24"/>
        </w:rPr>
      </w:pPr>
      <w:r w:rsidRPr="00325FB4">
        <w:rPr>
          <w:sz w:val="24"/>
          <w:szCs w:val="24"/>
        </w:rPr>
        <w:t>External use. This document may be reproduced in its entirety, without modification, and freely distributed in written or electronic form without requesting formal permission. Permission is required for any other external and/or commercial use. Requests for permission should be directed to</w:t>
      </w:r>
      <w:r>
        <w:rPr>
          <w:sz w:val="24"/>
          <w:szCs w:val="24"/>
        </w:rPr>
        <w:t xml:space="preserve"> the author.</w:t>
      </w:r>
    </w:p>
    <w:p w14:paraId="56CED632" w14:textId="77777777" w:rsidR="00D83808" w:rsidRDefault="00D83808" w:rsidP="00D83808">
      <w:pPr>
        <w:spacing w:after="160" w:line="259" w:lineRule="auto"/>
        <w:rPr>
          <w:rFonts w:asciiTheme="minorHAnsi" w:eastAsia="Arial" w:hAnsiTheme="minorHAnsi"/>
          <w:b/>
          <w:bCs/>
          <w:sz w:val="24"/>
          <w:szCs w:val="22"/>
        </w:rPr>
      </w:pPr>
      <w:r>
        <w:rPr>
          <w:rFonts w:asciiTheme="minorHAnsi" w:eastAsia="Arial" w:hAnsiTheme="minorHAnsi"/>
          <w:b/>
          <w:bCs/>
          <w:sz w:val="24"/>
          <w:szCs w:val="22"/>
        </w:rPr>
        <w:br w:type="page"/>
      </w:r>
    </w:p>
    <w:p w14:paraId="7356F03D" w14:textId="1C0E9538" w:rsidR="00D82BA3" w:rsidRPr="00325FB4" w:rsidRDefault="00FD0A85" w:rsidP="00D82BA3">
      <w:pPr>
        <w:rPr>
          <w:rFonts w:asciiTheme="minorHAnsi" w:eastAsia="Arial" w:hAnsiTheme="minorHAnsi"/>
          <w:b/>
          <w:bCs/>
          <w:sz w:val="24"/>
          <w:szCs w:val="22"/>
        </w:rPr>
      </w:pPr>
      <w:r w:rsidRPr="00FD0A85">
        <w:rPr>
          <w:rFonts w:asciiTheme="minorHAnsi" w:eastAsia="Arial" w:hAnsiTheme="minorHAnsi"/>
          <w:b/>
          <w:bCs/>
          <w:sz w:val="24"/>
          <w:szCs w:val="22"/>
        </w:rPr>
        <w:lastRenderedPageBreak/>
        <w:t xml:space="preserve">National Grid SAP </w:t>
      </w:r>
      <w:r w:rsidR="001A439D">
        <w:rPr>
          <w:rFonts w:asciiTheme="minorHAnsi" w:eastAsia="Arial" w:hAnsiTheme="minorHAnsi"/>
          <w:b/>
          <w:bCs/>
          <w:sz w:val="24"/>
          <w:szCs w:val="22"/>
        </w:rPr>
        <w:t>Adoption</w:t>
      </w:r>
    </w:p>
    <w:p w14:paraId="701E3F9A" w14:textId="537AF75F" w:rsidR="00575DC8" w:rsidRDefault="00575DC8" w:rsidP="00575DC8">
      <w:pPr>
        <w:rPr>
          <w:rFonts w:ascii="Calibri" w:hAnsi="Calibri" w:cs="Calibri"/>
          <w:b/>
          <w:color w:val="0070C0"/>
          <w:sz w:val="24"/>
          <w:szCs w:val="24"/>
        </w:rPr>
      </w:pPr>
    </w:p>
    <w:p w14:paraId="161C231D" w14:textId="36775E08" w:rsidR="00575DC8" w:rsidRPr="000E393A" w:rsidRDefault="00A6150B" w:rsidP="00575DC8">
      <w:pPr>
        <w:pStyle w:val="Heading3"/>
        <w:ind w:left="-4"/>
        <w:rPr>
          <w:b/>
          <w:bCs/>
        </w:rPr>
      </w:pPr>
      <w:r>
        <w:rPr>
          <w:b/>
          <w:bCs/>
        </w:rPr>
        <w:t>Background</w:t>
      </w:r>
    </w:p>
    <w:p w14:paraId="468E0C47" w14:textId="77777777" w:rsidR="005000BF" w:rsidRDefault="005000BF" w:rsidP="005000BF">
      <w:pPr>
        <w:spacing w:after="225"/>
        <w:ind w:right="32"/>
        <w:jc w:val="both"/>
        <w:rPr>
          <w:sz w:val="24"/>
          <w:szCs w:val="24"/>
        </w:rPr>
      </w:pPr>
      <w:r>
        <w:rPr>
          <w:sz w:val="24"/>
          <w:szCs w:val="24"/>
        </w:rPr>
        <w:t>In 2013, following Hurricane Sandy, the New York energy company National Grid decided to replace their aging Oracle business process management software with a more modern and flexible solution from SAP. SAP is a world-renowned for their business process modeling and management platform of the same name. The SAP platform is highly adaptable, as it abstracts from typical business processes and allows tailoring them for company-specific needs.</w:t>
      </w:r>
    </w:p>
    <w:p w14:paraId="283D066A" w14:textId="6121DEB4" w:rsidR="005000BF" w:rsidRDefault="005000BF" w:rsidP="005000BF">
      <w:pPr>
        <w:spacing w:after="225"/>
        <w:ind w:right="32"/>
        <w:jc w:val="both"/>
        <w:rPr>
          <w:sz w:val="24"/>
          <w:szCs w:val="24"/>
        </w:rPr>
      </w:pPr>
      <w:r>
        <w:rPr>
          <w:sz w:val="24"/>
          <w:szCs w:val="24"/>
        </w:rPr>
        <w:t>Adopting the SAP platform failed, costing National Grid approximately $1 billion US</w:t>
      </w:r>
      <w:r w:rsidR="000F1DD8">
        <w:rPr>
          <w:sz w:val="24"/>
          <w:szCs w:val="24"/>
        </w:rPr>
        <w:t xml:space="preserve"> in loss of revenue, financial loss, and expenditures. National Grid sued the consulting company charged with implementing SAP adoption for reparation</w:t>
      </w:r>
      <w:r>
        <w:rPr>
          <w:sz w:val="24"/>
          <w:szCs w:val="24"/>
        </w:rPr>
        <w:t>.</w:t>
      </w:r>
    </w:p>
    <w:p w14:paraId="4A9DA336" w14:textId="0A57B7B6" w:rsidR="006D461D" w:rsidRPr="00AE6E01" w:rsidRDefault="006D461D" w:rsidP="005000BF">
      <w:pPr>
        <w:spacing w:after="225"/>
        <w:ind w:right="32"/>
        <w:rPr>
          <w:b/>
          <w:bCs/>
          <w:sz w:val="24"/>
          <w:szCs w:val="24"/>
        </w:rPr>
      </w:pPr>
      <w:r w:rsidRPr="00AE6E01">
        <w:rPr>
          <w:b/>
          <w:bCs/>
          <w:sz w:val="24"/>
          <w:szCs w:val="24"/>
        </w:rPr>
        <w:t>Case</w:t>
      </w:r>
      <w:r w:rsidR="00A6150B" w:rsidRPr="00AE6E01">
        <w:rPr>
          <w:b/>
          <w:bCs/>
          <w:sz w:val="24"/>
          <w:szCs w:val="24"/>
        </w:rPr>
        <w:t xml:space="preserve"> Study Overview</w:t>
      </w:r>
    </w:p>
    <w:p w14:paraId="3A34993C" w14:textId="2986099E" w:rsidR="00575DC8" w:rsidRDefault="000F1DD8" w:rsidP="000F1DD8">
      <w:pPr>
        <w:pStyle w:val="NoSpacing"/>
        <w:jc w:val="both"/>
        <w:rPr>
          <w:rFonts w:eastAsia="Arial"/>
          <w:sz w:val="24"/>
          <w:szCs w:val="24"/>
        </w:rPr>
      </w:pPr>
      <w:r>
        <w:rPr>
          <w:rFonts w:eastAsia="Arial"/>
          <w:sz w:val="24"/>
          <w:szCs w:val="24"/>
        </w:rPr>
        <w:t xml:space="preserve">National Grid hired the SAP consulting firm Wipro in 2013 to systematically introduce the SAP platform into National Grid’s core business. SAP was meant to take over a significant portion of business processes, including payroll, customer invoicing, supply chain and procurement, and financial close. The SAP adoption process experienced significant delays and when the system was meant to go live, improper business process definitions rendered the National Grid unable to operate financially. More than 15,000 customer accounts remained </w:t>
      </w:r>
      <w:proofErr w:type="spellStart"/>
      <w:r>
        <w:rPr>
          <w:rFonts w:eastAsia="Arial"/>
          <w:sz w:val="24"/>
          <w:szCs w:val="24"/>
        </w:rPr>
        <w:t>uninvoiced</w:t>
      </w:r>
      <w:proofErr w:type="spellEnd"/>
      <w:r>
        <w:rPr>
          <w:rFonts w:eastAsia="Arial"/>
          <w:sz w:val="24"/>
          <w:szCs w:val="24"/>
        </w:rPr>
        <w:t xml:space="preserve"> or otherwise unpaid, causing more than $50 million in losses over the 5-month period until partial adoption could be attempted. </w:t>
      </w:r>
    </w:p>
    <w:p w14:paraId="1C5F2DE1" w14:textId="77777777" w:rsidR="00A6150B" w:rsidRDefault="00A6150B" w:rsidP="00A6150B">
      <w:pPr>
        <w:pStyle w:val="NoSpacing"/>
        <w:rPr>
          <w:rFonts w:eastAsia="Arial"/>
          <w:sz w:val="24"/>
          <w:szCs w:val="24"/>
        </w:rPr>
      </w:pPr>
    </w:p>
    <w:p w14:paraId="7CAA84F1" w14:textId="0800E6BA" w:rsidR="00A6150B" w:rsidRPr="00E0649D" w:rsidRDefault="00A6150B" w:rsidP="00E0649D">
      <w:pPr>
        <w:pStyle w:val="Heading3"/>
        <w:rPr>
          <w:rFonts w:eastAsia="Arial"/>
          <w:b/>
          <w:bCs/>
        </w:rPr>
      </w:pPr>
      <w:r w:rsidRPr="00E0649D">
        <w:rPr>
          <w:rFonts w:eastAsia="Arial"/>
          <w:b/>
          <w:bCs/>
        </w:rPr>
        <w:t>Student Instructions</w:t>
      </w:r>
    </w:p>
    <w:p w14:paraId="4AC620F2" w14:textId="75170AA9" w:rsidR="00001078" w:rsidRDefault="002E2E69" w:rsidP="002E2E69">
      <w:pPr>
        <w:pStyle w:val="NoSpacing"/>
        <w:jc w:val="both"/>
        <w:rPr>
          <w:rFonts w:eastAsia="Arial"/>
          <w:sz w:val="24"/>
          <w:szCs w:val="24"/>
        </w:rPr>
      </w:pPr>
      <w:r>
        <w:rPr>
          <w:rFonts w:eastAsia="Arial"/>
          <w:sz w:val="24"/>
          <w:szCs w:val="24"/>
        </w:rPr>
        <w:t>This case study is an example of a failed technology acquisition. Describe the nature of the supplier/integrator relationship and list relevant criteria National Grid could have applied to select the appropriate supplier. Identify possible risk during adoption regarding:</w:t>
      </w:r>
    </w:p>
    <w:p w14:paraId="1CBCBEED" w14:textId="5BB94413" w:rsidR="002E2E69" w:rsidRDefault="002E2E69" w:rsidP="002E2E69">
      <w:pPr>
        <w:pStyle w:val="NoSpacing"/>
        <w:numPr>
          <w:ilvl w:val="0"/>
          <w:numId w:val="30"/>
        </w:numPr>
        <w:rPr>
          <w:rFonts w:eastAsia="Arial"/>
          <w:sz w:val="24"/>
          <w:szCs w:val="24"/>
        </w:rPr>
      </w:pPr>
      <w:r>
        <w:rPr>
          <w:rFonts w:eastAsia="Arial"/>
          <w:sz w:val="24"/>
          <w:szCs w:val="24"/>
        </w:rPr>
        <w:t>Financial loss</w:t>
      </w:r>
    </w:p>
    <w:p w14:paraId="6A5AC7F9" w14:textId="6D757DBE" w:rsidR="002E2E69" w:rsidRDefault="002E2E69" w:rsidP="002E2E69">
      <w:pPr>
        <w:pStyle w:val="NoSpacing"/>
        <w:numPr>
          <w:ilvl w:val="0"/>
          <w:numId w:val="30"/>
        </w:numPr>
        <w:rPr>
          <w:rFonts w:eastAsia="Arial"/>
          <w:sz w:val="24"/>
          <w:szCs w:val="24"/>
        </w:rPr>
      </w:pPr>
      <w:r>
        <w:rPr>
          <w:rFonts w:eastAsia="Arial"/>
          <w:sz w:val="24"/>
          <w:szCs w:val="24"/>
        </w:rPr>
        <w:t>Security risk</w:t>
      </w:r>
    </w:p>
    <w:p w14:paraId="4F65D0FE" w14:textId="5CEEB243" w:rsidR="002E2E69" w:rsidRDefault="002E2E69" w:rsidP="002E2E69">
      <w:pPr>
        <w:pStyle w:val="NoSpacing"/>
        <w:numPr>
          <w:ilvl w:val="0"/>
          <w:numId w:val="30"/>
        </w:numPr>
        <w:rPr>
          <w:rFonts w:eastAsia="Arial"/>
          <w:sz w:val="24"/>
          <w:szCs w:val="24"/>
        </w:rPr>
      </w:pPr>
      <w:r>
        <w:rPr>
          <w:rFonts w:eastAsia="Arial"/>
          <w:sz w:val="24"/>
          <w:szCs w:val="24"/>
        </w:rPr>
        <w:t>Authentication</w:t>
      </w:r>
    </w:p>
    <w:p w14:paraId="087C6EBA" w14:textId="4C39911A" w:rsidR="002E2E69" w:rsidRDefault="002E2E69" w:rsidP="002E2E69">
      <w:pPr>
        <w:pStyle w:val="NoSpacing"/>
        <w:numPr>
          <w:ilvl w:val="0"/>
          <w:numId w:val="30"/>
        </w:numPr>
        <w:rPr>
          <w:rFonts w:eastAsia="Arial"/>
          <w:sz w:val="24"/>
          <w:szCs w:val="24"/>
        </w:rPr>
      </w:pPr>
      <w:r>
        <w:rPr>
          <w:rFonts w:eastAsia="Arial"/>
          <w:sz w:val="24"/>
          <w:szCs w:val="24"/>
        </w:rPr>
        <w:t>Loss of reputation</w:t>
      </w:r>
    </w:p>
    <w:p w14:paraId="57806757" w14:textId="153BB67C" w:rsidR="002E2E69" w:rsidRDefault="002E2E69" w:rsidP="002E2E69">
      <w:pPr>
        <w:pStyle w:val="NoSpacing"/>
        <w:numPr>
          <w:ilvl w:val="0"/>
          <w:numId w:val="30"/>
        </w:numPr>
        <w:rPr>
          <w:rFonts w:eastAsia="Arial"/>
          <w:sz w:val="24"/>
          <w:szCs w:val="24"/>
        </w:rPr>
      </w:pPr>
      <w:r>
        <w:rPr>
          <w:rFonts w:eastAsia="Arial"/>
          <w:sz w:val="24"/>
          <w:szCs w:val="24"/>
        </w:rPr>
        <w:t>Legal implications for National Grid</w:t>
      </w:r>
    </w:p>
    <w:p w14:paraId="4394F88E" w14:textId="77777777" w:rsidR="005F21F0" w:rsidRDefault="005F21F0" w:rsidP="002E2E69">
      <w:pPr>
        <w:pStyle w:val="NoSpacing"/>
        <w:rPr>
          <w:rFonts w:eastAsia="Arial"/>
          <w:sz w:val="24"/>
          <w:szCs w:val="24"/>
        </w:rPr>
      </w:pPr>
    </w:p>
    <w:p w14:paraId="2ED47450" w14:textId="27675E2F" w:rsidR="002E2E69" w:rsidRDefault="002E2E69" w:rsidP="002E2E69">
      <w:pPr>
        <w:pStyle w:val="NoSpacing"/>
        <w:rPr>
          <w:rFonts w:eastAsia="Arial"/>
          <w:sz w:val="24"/>
          <w:szCs w:val="24"/>
        </w:rPr>
      </w:pPr>
      <w:r>
        <w:rPr>
          <w:rFonts w:eastAsia="Arial"/>
          <w:sz w:val="24"/>
          <w:szCs w:val="24"/>
        </w:rPr>
        <w:t xml:space="preserve">Define a safe adoption strategy that could have prevented the acquisition failure. Be sure to cover all aspects of technology acquisition, including </w:t>
      </w:r>
      <w:r w:rsidR="006273EC">
        <w:rPr>
          <w:rFonts w:eastAsia="Arial"/>
          <w:sz w:val="24"/>
          <w:szCs w:val="24"/>
        </w:rPr>
        <w:t>risk assessment, risk mitigation, risk monitoring and control, validation of risk mitigation, monitoring, and control.</w:t>
      </w:r>
    </w:p>
    <w:p w14:paraId="25A016C8" w14:textId="77777777" w:rsidR="00A6150B" w:rsidRDefault="00A6150B" w:rsidP="00A6150B">
      <w:pPr>
        <w:pStyle w:val="NoSpacing"/>
        <w:rPr>
          <w:rFonts w:eastAsia="Arial"/>
          <w:sz w:val="24"/>
          <w:szCs w:val="24"/>
        </w:rPr>
      </w:pPr>
    </w:p>
    <w:p w14:paraId="44E8138A" w14:textId="77777777" w:rsidR="00550D22" w:rsidRDefault="00550D22">
      <w:pPr>
        <w:spacing w:after="160" w:line="259" w:lineRule="auto"/>
        <w:rPr>
          <w:rFonts w:asciiTheme="majorHAnsi" w:eastAsia="Arial" w:hAnsiTheme="majorHAnsi" w:cstheme="majorBidi"/>
          <w:b/>
          <w:bCs/>
          <w:color w:val="1F4D78" w:themeColor="accent1" w:themeShade="7F"/>
          <w:sz w:val="24"/>
          <w:szCs w:val="24"/>
        </w:rPr>
      </w:pPr>
      <w:r>
        <w:rPr>
          <w:rFonts w:eastAsia="Arial"/>
          <w:b/>
          <w:bCs/>
        </w:rPr>
        <w:br w:type="page"/>
      </w:r>
    </w:p>
    <w:p w14:paraId="0996CCC1" w14:textId="4EAA77B0" w:rsidR="00A6150B" w:rsidRPr="00E0649D" w:rsidRDefault="00A6150B" w:rsidP="00E0649D">
      <w:pPr>
        <w:pStyle w:val="Heading3"/>
        <w:rPr>
          <w:rFonts w:eastAsia="Arial"/>
          <w:b/>
          <w:bCs/>
        </w:rPr>
      </w:pPr>
      <w:r w:rsidRPr="00E0649D">
        <w:rPr>
          <w:rFonts w:eastAsia="Arial"/>
          <w:b/>
          <w:bCs/>
        </w:rPr>
        <w:lastRenderedPageBreak/>
        <w:t>Instructor notes</w:t>
      </w:r>
    </w:p>
    <w:p w14:paraId="75FFC10E" w14:textId="4510445D" w:rsidR="005E4693" w:rsidRDefault="005E4693" w:rsidP="002158FC">
      <w:pPr>
        <w:pStyle w:val="NoSpacing"/>
        <w:jc w:val="both"/>
        <w:rPr>
          <w:rFonts w:eastAsia="Arial"/>
          <w:sz w:val="24"/>
          <w:szCs w:val="24"/>
        </w:rPr>
      </w:pPr>
      <w:r>
        <w:rPr>
          <w:rFonts w:eastAsia="Arial"/>
          <w:sz w:val="24"/>
          <w:szCs w:val="24"/>
        </w:rPr>
        <w:t xml:space="preserve">This case study may be assigned as an individual or team exercise, either in synchronous or asynchronous educational settings. A proven strategy is “Think-Pair-Share”: use a similar </w:t>
      </w:r>
      <w:proofErr w:type="spellStart"/>
      <w:r>
        <w:rPr>
          <w:rFonts w:eastAsia="Arial"/>
          <w:sz w:val="24"/>
          <w:szCs w:val="24"/>
        </w:rPr>
        <w:t>CyBOK</w:t>
      </w:r>
      <w:proofErr w:type="spellEnd"/>
      <w:r>
        <w:rPr>
          <w:rFonts w:eastAsia="Arial"/>
          <w:sz w:val="24"/>
          <w:szCs w:val="24"/>
        </w:rPr>
        <w:t xml:space="preserve"> case study to discuss </w:t>
      </w:r>
      <w:proofErr w:type="spellStart"/>
      <w:r>
        <w:rPr>
          <w:rFonts w:eastAsia="Arial"/>
          <w:sz w:val="24"/>
          <w:szCs w:val="24"/>
        </w:rPr>
        <w:t>CyBOK</w:t>
      </w:r>
      <w:proofErr w:type="spellEnd"/>
      <w:r>
        <w:rPr>
          <w:rFonts w:eastAsia="Arial"/>
          <w:sz w:val="24"/>
          <w:szCs w:val="24"/>
        </w:rPr>
        <w:t xml:space="preserve"> KAs in class, then </w:t>
      </w:r>
      <w:r w:rsidR="002158FC">
        <w:rPr>
          <w:rFonts w:eastAsia="Arial"/>
          <w:sz w:val="24"/>
          <w:szCs w:val="24"/>
        </w:rPr>
        <w:t>group learners into</w:t>
      </w:r>
      <w:r>
        <w:rPr>
          <w:rFonts w:eastAsia="Arial"/>
          <w:sz w:val="24"/>
          <w:szCs w:val="24"/>
        </w:rPr>
        <w:t xml:space="preserve"> small teams of 2-3</w:t>
      </w:r>
      <w:r w:rsidR="002158FC">
        <w:rPr>
          <w:rFonts w:eastAsia="Arial"/>
          <w:sz w:val="24"/>
          <w:szCs w:val="24"/>
        </w:rPr>
        <w:t xml:space="preserve"> and ask them to solve this assignment. Then, in a following class meeting, have teams present results and discuss implications.</w:t>
      </w:r>
    </w:p>
    <w:p w14:paraId="4F2C30F1" w14:textId="6D5E6A3C" w:rsidR="002158FC" w:rsidRDefault="002158FC" w:rsidP="00A6150B">
      <w:pPr>
        <w:pStyle w:val="NoSpacing"/>
        <w:rPr>
          <w:rFonts w:eastAsia="Arial"/>
          <w:sz w:val="24"/>
          <w:szCs w:val="24"/>
        </w:rPr>
      </w:pPr>
    </w:p>
    <w:p w14:paraId="5A1E7416" w14:textId="44E746CD" w:rsidR="002158FC" w:rsidRDefault="002158FC" w:rsidP="002158FC">
      <w:pPr>
        <w:pStyle w:val="NoSpacing"/>
        <w:jc w:val="both"/>
        <w:rPr>
          <w:rFonts w:eastAsia="Arial"/>
          <w:sz w:val="24"/>
          <w:szCs w:val="24"/>
        </w:rPr>
      </w:pPr>
      <w:r>
        <w:rPr>
          <w:rFonts w:eastAsia="Arial"/>
          <w:sz w:val="24"/>
          <w:szCs w:val="24"/>
        </w:rPr>
        <w:t>Since case study references focus on business impact, rather than implications for security per se are not clear, risk in this sense is mostly related to “risk to the business”. However, some security-related implications persist that learners should be encouraged to explore.</w:t>
      </w:r>
    </w:p>
    <w:p w14:paraId="2BB15624" w14:textId="77777777" w:rsidR="00001078" w:rsidRDefault="00001078" w:rsidP="00A6150B">
      <w:pPr>
        <w:pStyle w:val="NoSpacing"/>
        <w:rPr>
          <w:rFonts w:eastAsia="Arial"/>
          <w:sz w:val="24"/>
          <w:szCs w:val="24"/>
        </w:rPr>
      </w:pPr>
    </w:p>
    <w:p w14:paraId="18E5F640" w14:textId="566EAE7D" w:rsidR="00001078" w:rsidRPr="00550D22" w:rsidRDefault="00001078" w:rsidP="00550D22">
      <w:pPr>
        <w:pStyle w:val="Heading3"/>
        <w:rPr>
          <w:rFonts w:eastAsia="Arial"/>
          <w:b/>
          <w:bCs/>
        </w:rPr>
      </w:pPr>
      <w:r w:rsidRPr="00550D22">
        <w:rPr>
          <w:rFonts w:eastAsia="Arial"/>
          <w:b/>
          <w:bCs/>
        </w:rPr>
        <w:t>Example solution</w:t>
      </w:r>
    </w:p>
    <w:p w14:paraId="1E109D41" w14:textId="60D4D2E9" w:rsidR="00001078" w:rsidRDefault="002158FC" w:rsidP="00A6150B">
      <w:pPr>
        <w:pStyle w:val="NoSpacing"/>
        <w:rPr>
          <w:rFonts w:eastAsia="Arial"/>
          <w:sz w:val="24"/>
          <w:szCs w:val="24"/>
        </w:rPr>
      </w:pPr>
      <w:r>
        <w:rPr>
          <w:rFonts w:eastAsia="Arial"/>
          <w:sz w:val="24"/>
          <w:szCs w:val="24"/>
        </w:rPr>
        <w:t>Risk is described in detail in the below references and include:</w:t>
      </w:r>
    </w:p>
    <w:p w14:paraId="7DE793AA" w14:textId="2806258D" w:rsidR="002158FC" w:rsidRDefault="002158FC" w:rsidP="002158FC">
      <w:pPr>
        <w:pStyle w:val="NoSpacing"/>
        <w:numPr>
          <w:ilvl w:val="0"/>
          <w:numId w:val="30"/>
        </w:numPr>
        <w:rPr>
          <w:rFonts w:eastAsia="Arial"/>
          <w:sz w:val="24"/>
          <w:szCs w:val="24"/>
        </w:rPr>
      </w:pPr>
      <w:r>
        <w:rPr>
          <w:rFonts w:eastAsia="Arial"/>
          <w:sz w:val="24"/>
          <w:szCs w:val="24"/>
        </w:rPr>
        <w:t>Loss of revenue</w:t>
      </w:r>
    </w:p>
    <w:p w14:paraId="5B5D0F8D" w14:textId="77777777" w:rsidR="002158FC" w:rsidRDefault="002158FC" w:rsidP="002158FC">
      <w:pPr>
        <w:pStyle w:val="NoSpacing"/>
        <w:numPr>
          <w:ilvl w:val="0"/>
          <w:numId w:val="30"/>
        </w:numPr>
        <w:rPr>
          <w:rFonts w:eastAsia="Arial"/>
          <w:sz w:val="24"/>
          <w:szCs w:val="24"/>
        </w:rPr>
      </w:pPr>
      <w:r>
        <w:rPr>
          <w:rFonts w:eastAsia="Arial"/>
          <w:sz w:val="24"/>
          <w:szCs w:val="24"/>
        </w:rPr>
        <w:t>Loss of reputation</w:t>
      </w:r>
    </w:p>
    <w:p w14:paraId="004EB2A5" w14:textId="3FBD4717" w:rsidR="002158FC" w:rsidRDefault="002158FC" w:rsidP="002158FC">
      <w:pPr>
        <w:pStyle w:val="NoSpacing"/>
        <w:numPr>
          <w:ilvl w:val="0"/>
          <w:numId w:val="30"/>
        </w:numPr>
        <w:rPr>
          <w:rFonts w:eastAsia="Arial"/>
          <w:sz w:val="24"/>
          <w:szCs w:val="24"/>
        </w:rPr>
      </w:pPr>
      <w:r>
        <w:rPr>
          <w:rFonts w:eastAsia="Arial"/>
          <w:sz w:val="24"/>
          <w:szCs w:val="24"/>
        </w:rPr>
        <w:t>Expenditures for legal compensation of customers</w:t>
      </w:r>
    </w:p>
    <w:p w14:paraId="5A1DDEC4" w14:textId="498782B0" w:rsidR="002158FC" w:rsidRDefault="002158FC" w:rsidP="002158FC">
      <w:pPr>
        <w:pStyle w:val="NoSpacing"/>
        <w:numPr>
          <w:ilvl w:val="0"/>
          <w:numId w:val="30"/>
        </w:numPr>
        <w:rPr>
          <w:rFonts w:eastAsia="Arial"/>
          <w:sz w:val="24"/>
          <w:szCs w:val="24"/>
        </w:rPr>
      </w:pPr>
      <w:r>
        <w:rPr>
          <w:rFonts w:eastAsia="Arial"/>
          <w:sz w:val="24"/>
          <w:szCs w:val="24"/>
        </w:rPr>
        <w:t>Expenditures for legal fines</w:t>
      </w:r>
    </w:p>
    <w:p w14:paraId="3075601B" w14:textId="4E136BDD" w:rsidR="002158FC" w:rsidRDefault="002158FC" w:rsidP="002158FC">
      <w:pPr>
        <w:pStyle w:val="NoSpacing"/>
        <w:numPr>
          <w:ilvl w:val="0"/>
          <w:numId w:val="30"/>
        </w:numPr>
        <w:rPr>
          <w:rFonts w:eastAsia="Arial"/>
          <w:sz w:val="24"/>
          <w:szCs w:val="24"/>
        </w:rPr>
      </w:pPr>
      <w:r>
        <w:rPr>
          <w:rFonts w:eastAsia="Arial"/>
          <w:sz w:val="24"/>
          <w:szCs w:val="24"/>
        </w:rPr>
        <w:t>Expenditures for legal quarrel with Wipro</w:t>
      </w:r>
    </w:p>
    <w:p w14:paraId="72CA8DD6" w14:textId="69571587" w:rsidR="002158FC" w:rsidRPr="002158FC" w:rsidRDefault="002158FC" w:rsidP="00C448CF">
      <w:pPr>
        <w:pStyle w:val="NoSpacing"/>
        <w:numPr>
          <w:ilvl w:val="0"/>
          <w:numId w:val="30"/>
        </w:numPr>
        <w:rPr>
          <w:rFonts w:eastAsia="Arial"/>
          <w:sz w:val="24"/>
          <w:szCs w:val="24"/>
        </w:rPr>
      </w:pPr>
      <w:r w:rsidRPr="002158FC">
        <w:rPr>
          <w:rFonts w:eastAsia="Arial"/>
          <w:sz w:val="24"/>
          <w:szCs w:val="24"/>
        </w:rPr>
        <w:t>Possible introduction of Security risk</w:t>
      </w:r>
      <w:r>
        <w:rPr>
          <w:rFonts w:eastAsia="Arial"/>
          <w:sz w:val="24"/>
          <w:szCs w:val="24"/>
        </w:rPr>
        <w:t xml:space="preserve"> to due functionally inadequate business processes</w:t>
      </w:r>
    </w:p>
    <w:p w14:paraId="5FB02CE6" w14:textId="576E9FFA" w:rsidR="002158FC" w:rsidRDefault="002158FC" w:rsidP="002158FC">
      <w:pPr>
        <w:pStyle w:val="NoSpacing"/>
        <w:numPr>
          <w:ilvl w:val="0"/>
          <w:numId w:val="30"/>
        </w:numPr>
        <w:rPr>
          <w:rFonts w:eastAsia="Arial"/>
          <w:sz w:val="24"/>
          <w:szCs w:val="24"/>
        </w:rPr>
      </w:pPr>
      <w:r>
        <w:rPr>
          <w:rFonts w:eastAsia="Arial"/>
          <w:sz w:val="24"/>
          <w:szCs w:val="24"/>
        </w:rPr>
        <w:t>Improper authentication of involved agents</w:t>
      </w:r>
    </w:p>
    <w:p w14:paraId="463082B6" w14:textId="77777777" w:rsidR="002158FC" w:rsidRDefault="002158FC" w:rsidP="002158FC">
      <w:pPr>
        <w:pStyle w:val="NoSpacing"/>
        <w:numPr>
          <w:ilvl w:val="0"/>
          <w:numId w:val="30"/>
        </w:numPr>
        <w:rPr>
          <w:rFonts w:eastAsia="Arial"/>
          <w:sz w:val="24"/>
          <w:szCs w:val="24"/>
        </w:rPr>
      </w:pPr>
      <w:r>
        <w:rPr>
          <w:rFonts w:eastAsia="Arial"/>
          <w:sz w:val="24"/>
          <w:szCs w:val="24"/>
        </w:rPr>
        <w:t xml:space="preserve">Lack of non-repudiation for </w:t>
      </w:r>
      <w:proofErr w:type="spellStart"/>
      <w:r>
        <w:rPr>
          <w:rFonts w:eastAsia="Arial"/>
          <w:sz w:val="24"/>
          <w:szCs w:val="24"/>
        </w:rPr>
        <w:t>uninvoiced</w:t>
      </w:r>
      <w:proofErr w:type="spellEnd"/>
      <w:r>
        <w:rPr>
          <w:rFonts w:eastAsia="Arial"/>
          <w:sz w:val="24"/>
          <w:szCs w:val="24"/>
        </w:rPr>
        <w:t xml:space="preserve"> customer accounts</w:t>
      </w:r>
    </w:p>
    <w:p w14:paraId="06DBF079" w14:textId="008D6045" w:rsidR="002158FC" w:rsidRDefault="002158FC" w:rsidP="002158FC">
      <w:pPr>
        <w:pStyle w:val="NoSpacing"/>
        <w:numPr>
          <w:ilvl w:val="0"/>
          <w:numId w:val="30"/>
        </w:numPr>
        <w:rPr>
          <w:rFonts w:eastAsia="Arial"/>
          <w:sz w:val="24"/>
          <w:szCs w:val="24"/>
        </w:rPr>
      </w:pPr>
      <w:r>
        <w:rPr>
          <w:rFonts w:eastAsia="Arial"/>
          <w:sz w:val="24"/>
          <w:szCs w:val="24"/>
        </w:rPr>
        <w:t>Delayed technology adoption</w:t>
      </w:r>
    </w:p>
    <w:p w14:paraId="4AB2E333" w14:textId="4BC2F4D8" w:rsidR="002158FC" w:rsidRDefault="002158FC" w:rsidP="002158FC">
      <w:pPr>
        <w:pStyle w:val="NoSpacing"/>
        <w:rPr>
          <w:rFonts w:eastAsia="Arial"/>
          <w:sz w:val="24"/>
          <w:szCs w:val="24"/>
        </w:rPr>
      </w:pPr>
    </w:p>
    <w:p w14:paraId="14D6C32B" w14:textId="57F87279" w:rsidR="002158FC" w:rsidRDefault="002158FC" w:rsidP="002158FC">
      <w:pPr>
        <w:pStyle w:val="NoSpacing"/>
        <w:rPr>
          <w:rFonts w:eastAsia="Arial"/>
          <w:sz w:val="24"/>
          <w:szCs w:val="24"/>
        </w:rPr>
      </w:pPr>
      <w:r>
        <w:rPr>
          <w:rFonts w:eastAsia="Arial"/>
          <w:sz w:val="24"/>
          <w:szCs w:val="24"/>
        </w:rPr>
        <w:t>Causes for this risk may include:</w:t>
      </w:r>
    </w:p>
    <w:p w14:paraId="714C6E7C" w14:textId="16FF8187" w:rsidR="002158FC" w:rsidRDefault="002158FC" w:rsidP="002158FC">
      <w:pPr>
        <w:pStyle w:val="NoSpacing"/>
        <w:numPr>
          <w:ilvl w:val="0"/>
          <w:numId w:val="32"/>
        </w:numPr>
        <w:rPr>
          <w:rFonts w:eastAsia="Arial"/>
          <w:sz w:val="24"/>
          <w:szCs w:val="24"/>
        </w:rPr>
      </w:pPr>
      <w:r>
        <w:rPr>
          <w:rFonts w:eastAsia="Arial"/>
          <w:sz w:val="24"/>
          <w:szCs w:val="24"/>
        </w:rPr>
        <w:t>Unclear evaluative criteria for supplier (Wipro) competence</w:t>
      </w:r>
    </w:p>
    <w:p w14:paraId="6318D8A1" w14:textId="13AACE58" w:rsidR="002158FC" w:rsidRDefault="002158FC" w:rsidP="002158FC">
      <w:pPr>
        <w:pStyle w:val="NoSpacing"/>
        <w:numPr>
          <w:ilvl w:val="0"/>
          <w:numId w:val="32"/>
        </w:numPr>
        <w:rPr>
          <w:rFonts w:eastAsia="Arial"/>
          <w:sz w:val="24"/>
          <w:szCs w:val="24"/>
        </w:rPr>
      </w:pPr>
      <w:r>
        <w:rPr>
          <w:rFonts w:eastAsia="Arial"/>
          <w:sz w:val="24"/>
          <w:szCs w:val="24"/>
        </w:rPr>
        <w:t>Unclear evaluative criteria for adoption success</w:t>
      </w:r>
    </w:p>
    <w:p w14:paraId="1ABACBF4" w14:textId="772ACF26" w:rsidR="002158FC" w:rsidRDefault="002158FC" w:rsidP="002158FC">
      <w:pPr>
        <w:pStyle w:val="NoSpacing"/>
        <w:numPr>
          <w:ilvl w:val="0"/>
          <w:numId w:val="32"/>
        </w:numPr>
        <w:rPr>
          <w:rFonts w:eastAsia="Arial"/>
          <w:sz w:val="24"/>
          <w:szCs w:val="24"/>
        </w:rPr>
      </w:pPr>
      <w:r>
        <w:rPr>
          <w:rFonts w:eastAsia="Arial"/>
          <w:sz w:val="24"/>
          <w:szCs w:val="24"/>
        </w:rPr>
        <w:t>Improperly defined functional requirements for adoption</w:t>
      </w:r>
    </w:p>
    <w:p w14:paraId="4059EF6C" w14:textId="0B76A910" w:rsidR="002158FC" w:rsidRDefault="002158FC" w:rsidP="002158FC">
      <w:pPr>
        <w:pStyle w:val="NoSpacing"/>
        <w:numPr>
          <w:ilvl w:val="0"/>
          <w:numId w:val="32"/>
        </w:numPr>
        <w:rPr>
          <w:rFonts w:eastAsia="Arial"/>
          <w:sz w:val="24"/>
          <w:szCs w:val="24"/>
        </w:rPr>
      </w:pPr>
      <w:r>
        <w:rPr>
          <w:rFonts w:eastAsia="Arial"/>
          <w:sz w:val="24"/>
          <w:szCs w:val="24"/>
        </w:rPr>
        <w:t>Lack of security requirements</w:t>
      </w:r>
    </w:p>
    <w:p w14:paraId="62408747" w14:textId="0D21B6C1" w:rsidR="002158FC" w:rsidRDefault="002158FC" w:rsidP="002158FC">
      <w:pPr>
        <w:pStyle w:val="NoSpacing"/>
        <w:numPr>
          <w:ilvl w:val="0"/>
          <w:numId w:val="32"/>
        </w:numPr>
        <w:rPr>
          <w:rFonts w:eastAsia="Arial"/>
          <w:sz w:val="24"/>
          <w:szCs w:val="24"/>
        </w:rPr>
      </w:pPr>
      <w:r>
        <w:rPr>
          <w:rFonts w:eastAsia="Arial"/>
          <w:sz w:val="24"/>
          <w:szCs w:val="24"/>
        </w:rPr>
        <w:t>Unrealistic timeline</w:t>
      </w:r>
    </w:p>
    <w:p w14:paraId="616CBDAA" w14:textId="18905BBF" w:rsidR="002158FC" w:rsidRDefault="002158FC" w:rsidP="002158FC">
      <w:pPr>
        <w:pStyle w:val="NoSpacing"/>
        <w:numPr>
          <w:ilvl w:val="0"/>
          <w:numId w:val="32"/>
        </w:numPr>
        <w:rPr>
          <w:rFonts w:eastAsia="Arial"/>
          <w:sz w:val="24"/>
          <w:szCs w:val="24"/>
        </w:rPr>
      </w:pPr>
      <w:r>
        <w:rPr>
          <w:rFonts w:eastAsia="Arial"/>
          <w:sz w:val="24"/>
          <w:szCs w:val="24"/>
        </w:rPr>
        <w:t xml:space="preserve">Failure to define risk monitoring and recovery </w:t>
      </w:r>
      <w:proofErr w:type="gramStart"/>
      <w:r>
        <w:rPr>
          <w:rFonts w:eastAsia="Arial"/>
          <w:sz w:val="24"/>
          <w:szCs w:val="24"/>
        </w:rPr>
        <w:t>strategies</w:t>
      </w:r>
      <w:proofErr w:type="gramEnd"/>
    </w:p>
    <w:p w14:paraId="751C5E43" w14:textId="5C59332A" w:rsidR="002158FC" w:rsidRDefault="002158FC" w:rsidP="002158FC">
      <w:pPr>
        <w:pStyle w:val="NoSpacing"/>
        <w:rPr>
          <w:rFonts w:eastAsia="Arial"/>
          <w:sz w:val="24"/>
          <w:szCs w:val="24"/>
        </w:rPr>
      </w:pPr>
    </w:p>
    <w:p w14:paraId="650CB1CA" w14:textId="2BB0F2CB" w:rsidR="002158FC" w:rsidRDefault="002511FE" w:rsidP="002158FC">
      <w:pPr>
        <w:pStyle w:val="NoSpacing"/>
        <w:rPr>
          <w:rFonts w:eastAsia="Arial"/>
          <w:sz w:val="24"/>
          <w:szCs w:val="24"/>
        </w:rPr>
      </w:pPr>
      <w:r>
        <w:rPr>
          <w:rFonts w:eastAsia="Arial"/>
          <w:sz w:val="24"/>
          <w:szCs w:val="24"/>
        </w:rPr>
        <w:t>An adoption strategy to avoid risk is rooted in defining a proper technology acquisition protocol. Such a protocol must at minimum include:</w:t>
      </w:r>
    </w:p>
    <w:p w14:paraId="3E5F14B0" w14:textId="3A35941A" w:rsidR="002511FE" w:rsidRDefault="002511FE" w:rsidP="002511FE">
      <w:pPr>
        <w:pStyle w:val="NoSpacing"/>
        <w:numPr>
          <w:ilvl w:val="0"/>
          <w:numId w:val="33"/>
        </w:numPr>
        <w:rPr>
          <w:rFonts w:eastAsia="Arial"/>
          <w:sz w:val="24"/>
          <w:szCs w:val="24"/>
        </w:rPr>
      </w:pPr>
      <w:r>
        <w:rPr>
          <w:rFonts w:eastAsia="Arial"/>
          <w:sz w:val="24"/>
          <w:szCs w:val="24"/>
        </w:rPr>
        <w:t>Supplier metrics for competence and adoption success</w:t>
      </w:r>
    </w:p>
    <w:p w14:paraId="347F7C78" w14:textId="6299B42A" w:rsidR="002511FE" w:rsidRDefault="002511FE" w:rsidP="002511FE">
      <w:pPr>
        <w:pStyle w:val="NoSpacing"/>
        <w:numPr>
          <w:ilvl w:val="0"/>
          <w:numId w:val="33"/>
        </w:numPr>
        <w:rPr>
          <w:rFonts w:eastAsia="Arial"/>
          <w:sz w:val="24"/>
          <w:szCs w:val="24"/>
        </w:rPr>
      </w:pPr>
      <w:r>
        <w:rPr>
          <w:rFonts w:eastAsia="Arial"/>
          <w:sz w:val="24"/>
          <w:szCs w:val="24"/>
        </w:rPr>
        <w:t xml:space="preserve">Compliance policies for SAP to meet National Grid’s business </w:t>
      </w:r>
      <w:proofErr w:type="gramStart"/>
      <w:r>
        <w:rPr>
          <w:rFonts w:eastAsia="Arial"/>
          <w:sz w:val="24"/>
          <w:szCs w:val="24"/>
        </w:rPr>
        <w:t>needs</w:t>
      </w:r>
      <w:proofErr w:type="gramEnd"/>
    </w:p>
    <w:p w14:paraId="3DA1A246" w14:textId="2EF9A074" w:rsidR="002511FE" w:rsidRDefault="002511FE" w:rsidP="002511FE">
      <w:pPr>
        <w:pStyle w:val="NoSpacing"/>
        <w:numPr>
          <w:ilvl w:val="0"/>
          <w:numId w:val="33"/>
        </w:numPr>
        <w:rPr>
          <w:rFonts w:eastAsia="Arial"/>
          <w:sz w:val="24"/>
          <w:szCs w:val="24"/>
        </w:rPr>
      </w:pPr>
      <w:r>
        <w:rPr>
          <w:rFonts w:eastAsia="Arial"/>
          <w:sz w:val="24"/>
          <w:szCs w:val="24"/>
        </w:rPr>
        <w:t>Train stakeholders in SAP usage, but also in business compliance</w:t>
      </w:r>
    </w:p>
    <w:p w14:paraId="398D5037" w14:textId="02734C06" w:rsidR="002511FE" w:rsidRDefault="002511FE" w:rsidP="002511FE">
      <w:pPr>
        <w:pStyle w:val="NoSpacing"/>
        <w:numPr>
          <w:ilvl w:val="0"/>
          <w:numId w:val="33"/>
        </w:numPr>
        <w:rPr>
          <w:rFonts w:eastAsia="Arial"/>
          <w:sz w:val="24"/>
          <w:szCs w:val="24"/>
        </w:rPr>
      </w:pPr>
      <w:r>
        <w:rPr>
          <w:rFonts w:eastAsia="Arial"/>
          <w:sz w:val="24"/>
          <w:szCs w:val="24"/>
        </w:rPr>
        <w:t xml:space="preserve">Assess SAP’s ability to meet National Grid’s business needs and existing business </w:t>
      </w:r>
      <w:proofErr w:type="gramStart"/>
      <w:r>
        <w:rPr>
          <w:rFonts w:eastAsia="Arial"/>
          <w:sz w:val="24"/>
          <w:szCs w:val="24"/>
        </w:rPr>
        <w:t>processes</w:t>
      </w:r>
      <w:proofErr w:type="gramEnd"/>
    </w:p>
    <w:p w14:paraId="1905707F" w14:textId="77777777" w:rsidR="00001078" w:rsidRDefault="00001078" w:rsidP="00A6150B">
      <w:pPr>
        <w:pStyle w:val="NoSpacing"/>
        <w:rPr>
          <w:rFonts w:eastAsia="Arial"/>
          <w:sz w:val="24"/>
          <w:szCs w:val="24"/>
        </w:rPr>
      </w:pPr>
    </w:p>
    <w:p w14:paraId="1407AD17" w14:textId="77777777" w:rsidR="00CC301E" w:rsidRDefault="00CC301E">
      <w:pPr>
        <w:spacing w:after="160" w:line="259" w:lineRule="auto"/>
        <w:rPr>
          <w:rFonts w:asciiTheme="majorHAnsi" w:eastAsia="Arial" w:hAnsiTheme="majorHAnsi" w:cstheme="majorBidi"/>
          <w:b/>
          <w:bCs/>
          <w:color w:val="1F4D78" w:themeColor="accent1" w:themeShade="7F"/>
          <w:sz w:val="24"/>
          <w:szCs w:val="24"/>
        </w:rPr>
      </w:pPr>
      <w:r>
        <w:rPr>
          <w:rFonts w:eastAsia="Arial"/>
          <w:b/>
          <w:bCs/>
        </w:rPr>
        <w:br w:type="page"/>
      </w:r>
    </w:p>
    <w:p w14:paraId="00B97522" w14:textId="242AABA5" w:rsidR="00001078" w:rsidRPr="00550D22" w:rsidRDefault="00001078" w:rsidP="00550D22">
      <w:pPr>
        <w:pStyle w:val="Heading3"/>
        <w:rPr>
          <w:rFonts w:eastAsia="Arial"/>
          <w:b/>
          <w:bCs/>
        </w:rPr>
      </w:pPr>
      <w:r w:rsidRPr="00550D22">
        <w:rPr>
          <w:rFonts w:eastAsia="Arial"/>
          <w:b/>
          <w:bCs/>
        </w:rPr>
        <w:lastRenderedPageBreak/>
        <w:t>References</w:t>
      </w:r>
    </w:p>
    <w:p w14:paraId="6721D2E1" w14:textId="601A07F6" w:rsidR="00001078" w:rsidRDefault="00FD0A85" w:rsidP="00A6150B">
      <w:pPr>
        <w:pStyle w:val="NoSpacing"/>
        <w:rPr>
          <w:rFonts w:eastAsia="Arial"/>
          <w:sz w:val="24"/>
          <w:szCs w:val="24"/>
        </w:rPr>
      </w:pPr>
      <w:r w:rsidRPr="00FD0A85">
        <w:rPr>
          <w:rFonts w:eastAsia="Arial"/>
          <w:sz w:val="24"/>
          <w:szCs w:val="24"/>
        </w:rPr>
        <w:t>Belden, J.: “W</w:t>
      </w:r>
      <w:r w:rsidR="00A905E5">
        <w:rPr>
          <w:rFonts w:eastAsia="Arial"/>
          <w:sz w:val="24"/>
          <w:szCs w:val="24"/>
        </w:rPr>
        <w:t>ipro</w:t>
      </w:r>
      <w:r w:rsidRPr="00FD0A85">
        <w:rPr>
          <w:rFonts w:eastAsia="Arial"/>
          <w:sz w:val="24"/>
          <w:szCs w:val="24"/>
        </w:rPr>
        <w:t xml:space="preserve"> Responds to </w:t>
      </w:r>
      <w:r>
        <w:rPr>
          <w:rFonts w:eastAsia="Arial"/>
          <w:sz w:val="24"/>
          <w:szCs w:val="24"/>
        </w:rPr>
        <w:t xml:space="preserve">National Grid’s SAP Implementation Billion Dollar Lawsuit,” online resource available at: </w:t>
      </w:r>
      <w:hyperlink r:id="rId8" w:history="1">
        <w:r w:rsidRPr="00F735AD">
          <w:rPr>
            <w:rStyle w:val="Hyperlink"/>
            <w:rFonts w:eastAsia="Arial"/>
            <w:sz w:val="24"/>
            <w:szCs w:val="24"/>
          </w:rPr>
          <w:t>https://upperedge.com/sap/wipro-responds-to-national-grids-sap-implementation-billion-dollar-lawsuit</w:t>
        </w:r>
      </w:hyperlink>
      <w:r>
        <w:rPr>
          <w:rFonts w:eastAsia="Arial"/>
          <w:sz w:val="24"/>
          <w:szCs w:val="24"/>
        </w:rPr>
        <w:t>, 2018. Accessed 7 Feb 2021.</w:t>
      </w:r>
    </w:p>
    <w:p w14:paraId="18A2F4EF" w14:textId="77777777" w:rsidR="00FD0A85" w:rsidRPr="00FD0A85" w:rsidRDefault="00FD0A85" w:rsidP="00A6150B">
      <w:pPr>
        <w:pStyle w:val="NoSpacing"/>
        <w:rPr>
          <w:rFonts w:eastAsia="Arial"/>
          <w:sz w:val="24"/>
          <w:szCs w:val="24"/>
        </w:rPr>
      </w:pPr>
    </w:p>
    <w:p w14:paraId="3733014D" w14:textId="77777777" w:rsidR="00FD0A85" w:rsidRDefault="00FD0A85" w:rsidP="00A6150B">
      <w:pPr>
        <w:pStyle w:val="NoSpacing"/>
        <w:rPr>
          <w:rFonts w:eastAsia="Arial"/>
          <w:sz w:val="24"/>
          <w:szCs w:val="24"/>
        </w:rPr>
      </w:pPr>
      <w:r>
        <w:rPr>
          <w:rFonts w:eastAsia="Arial"/>
          <w:sz w:val="24"/>
          <w:szCs w:val="24"/>
        </w:rPr>
        <w:t xml:space="preserve">Snapp, S.: “How National Grid’s SAP Implementation Damaged Their Company,” online resource available at: </w:t>
      </w:r>
      <w:hyperlink r:id="rId9" w:history="1">
        <w:r w:rsidRPr="00F735AD">
          <w:rPr>
            <w:rStyle w:val="Hyperlink"/>
            <w:rFonts w:eastAsia="Arial"/>
            <w:sz w:val="24"/>
            <w:szCs w:val="24"/>
          </w:rPr>
          <w:t>https://www.brightworkresearch.com/how-national-grids-sap-implementation-damaged-a-company/</w:t>
        </w:r>
      </w:hyperlink>
      <w:r>
        <w:rPr>
          <w:rFonts w:eastAsia="Arial"/>
          <w:sz w:val="24"/>
          <w:szCs w:val="24"/>
        </w:rPr>
        <w:t>, 2019. Accessed 7 Feb 2021</w:t>
      </w:r>
    </w:p>
    <w:p w14:paraId="51010C09" w14:textId="77777777" w:rsidR="00FD0A85" w:rsidRDefault="00FD0A85" w:rsidP="00A6150B">
      <w:pPr>
        <w:pStyle w:val="NoSpacing"/>
        <w:rPr>
          <w:rFonts w:eastAsia="Arial"/>
          <w:sz w:val="24"/>
          <w:szCs w:val="24"/>
        </w:rPr>
      </w:pPr>
    </w:p>
    <w:p w14:paraId="3EB1B532" w14:textId="700ABBD9" w:rsidR="00A6150B" w:rsidRPr="00FD0A85" w:rsidRDefault="00FD0A85" w:rsidP="00A6150B">
      <w:pPr>
        <w:pStyle w:val="NoSpacing"/>
        <w:rPr>
          <w:rFonts w:eastAsia="Arial"/>
          <w:sz w:val="24"/>
          <w:szCs w:val="24"/>
        </w:rPr>
      </w:pPr>
      <w:r>
        <w:rPr>
          <w:rFonts w:eastAsia="Arial"/>
          <w:sz w:val="24"/>
          <w:szCs w:val="24"/>
        </w:rPr>
        <w:t xml:space="preserve">Kim, E.: “A Troubled </w:t>
      </w:r>
      <w:proofErr w:type="spellStart"/>
      <w:r>
        <w:rPr>
          <w:rFonts w:eastAsia="Arial"/>
          <w:sz w:val="24"/>
          <w:szCs w:val="24"/>
        </w:rPr>
        <w:t>Prokject</w:t>
      </w:r>
      <w:proofErr w:type="spellEnd"/>
      <w:r>
        <w:rPr>
          <w:rFonts w:eastAsia="Arial"/>
          <w:sz w:val="24"/>
          <w:szCs w:val="24"/>
        </w:rPr>
        <w:t xml:space="preserve"> To Replace Oracle with SAP Software Could Cost a New York Gas </w:t>
      </w:r>
      <w:r w:rsidR="00436654">
        <w:rPr>
          <w:rFonts w:eastAsia="Arial"/>
          <w:sz w:val="24"/>
          <w:szCs w:val="24"/>
        </w:rPr>
        <w:t xml:space="preserve">Utility Nearly $1 Billion,” online resource available at: </w:t>
      </w:r>
      <w:hyperlink r:id="rId10" w:history="1">
        <w:r w:rsidR="00436654" w:rsidRPr="00F735AD">
          <w:rPr>
            <w:rStyle w:val="Hyperlink"/>
            <w:rFonts w:eastAsia="Arial"/>
            <w:sz w:val="24"/>
            <w:szCs w:val="24"/>
          </w:rPr>
          <w:t>https://www.businessinsider.com/national-grid-sap-1-billion-upgrade-cost-2014-10</w:t>
        </w:r>
      </w:hyperlink>
      <w:r w:rsidR="00436654">
        <w:rPr>
          <w:rFonts w:eastAsia="Arial"/>
          <w:sz w:val="24"/>
          <w:szCs w:val="24"/>
        </w:rPr>
        <w:t>, 2014. Accessed 11 March 2021.</w:t>
      </w:r>
      <w:r>
        <w:rPr>
          <w:rFonts w:eastAsia="Arial"/>
          <w:sz w:val="24"/>
          <w:szCs w:val="24"/>
        </w:rPr>
        <w:t xml:space="preserve"> </w:t>
      </w:r>
    </w:p>
    <w:p w14:paraId="42810B4B" w14:textId="4E22E27E" w:rsidR="00A6150B" w:rsidRDefault="00A6150B" w:rsidP="00A6150B">
      <w:pPr>
        <w:pStyle w:val="NoSpacing"/>
        <w:rPr>
          <w:sz w:val="24"/>
          <w:szCs w:val="24"/>
        </w:rPr>
      </w:pPr>
    </w:p>
    <w:p w14:paraId="2B57E1D4" w14:textId="23AED2D1" w:rsidR="00A905E5" w:rsidRPr="00FD0A85" w:rsidRDefault="00A905E5" w:rsidP="00A6150B">
      <w:pPr>
        <w:pStyle w:val="NoSpacing"/>
        <w:rPr>
          <w:sz w:val="24"/>
          <w:szCs w:val="24"/>
        </w:rPr>
      </w:pPr>
      <w:r>
        <w:rPr>
          <w:sz w:val="24"/>
          <w:szCs w:val="24"/>
        </w:rPr>
        <w:t xml:space="preserve">Kimberling, E.: “Lessons Learned from the National Grid v. Wipro SAP Lawsuit,” online resource available at: </w:t>
      </w:r>
      <w:hyperlink r:id="rId11" w:history="1">
        <w:r w:rsidRPr="00F735AD">
          <w:rPr>
            <w:rStyle w:val="Hyperlink"/>
            <w:sz w:val="24"/>
            <w:szCs w:val="24"/>
          </w:rPr>
          <w:t>https://www.thirdstage-consulting.com/lessons-from-the-national-grid-v-wipro-sap-lawsuit/</w:t>
        </w:r>
      </w:hyperlink>
      <w:r>
        <w:rPr>
          <w:sz w:val="24"/>
          <w:szCs w:val="24"/>
        </w:rPr>
        <w:t>, 2018. Accessed 11 March 2021.</w:t>
      </w:r>
    </w:p>
    <w:p w14:paraId="2F70DE3D" w14:textId="77777777" w:rsidR="00575DC8" w:rsidRPr="00FD0A85" w:rsidRDefault="00575DC8" w:rsidP="00575DC8">
      <w:pPr>
        <w:rPr>
          <w:rFonts w:ascii="Calibri" w:hAnsi="Calibri" w:cs="Calibri"/>
          <w:b/>
          <w:color w:val="0070C0"/>
          <w:sz w:val="24"/>
          <w:szCs w:val="24"/>
        </w:rPr>
      </w:pPr>
    </w:p>
    <w:sectPr w:rsidR="00575DC8" w:rsidRPr="00FD0A85" w:rsidSect="00331461">
      <w:headerReference w:type="default" r:id="rId12"/>
      <w:footerReference w:type="defaul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A6DF2D" w14:textId="77777777" w:rsidR="00942E3D" w:rsidRDefault="00942E3D" w:rsidP="00350565">
      <w:r>
        <w:separator/>
      </w:r>
    </w:p>
    <w:p w14:paraId="34CCCA9E" w14:textId="77777777" w:rsidR="00942E3D" w:rsidRDefault="00942E3D"/>
  </w:endnote>
  <w:endnote w:type="continuationSeparator" w:id="0">
    <w:p w14:paraId="3DF8AA5A" w14:textId="77777777" w:rsidR="00942E3D" w:rsidRDefault="00942E3D" w:rsidP="00350565">
      <w:r>
        <w:continuationSeparator/>
      </w:r>
    </w:p>
    <w:p w14:paraId="07AC13E4" w14:textId="77777777" w:rsidR="00942E3D" w:rsidRDefault="00942E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49514403"/>
      <w:docPartObj>
        <w:docPartGallery w:val="Page Numbers (Bottom of Page)"/>
        <w:docPartUnique/>
      </w:docPartObj>
    </w:sdtPr>
    <w:sdtEndPr>
      <w:rPr>
        <w:noProof/>
      </w:rPr>
    </w:sdtEndPr>
    <w:sdtContent>
      <w:p w14:paraId="0640EF00" w14:textId="7C3870CD" w:rsidR="00331461" w:rsidRDefault="00331461">
        <w:pPr>
          <w:pStyle w:val="Footer"/>
          <w:jc w:val="right"/>
        </w:pPr>
        <w:r>
          <w:fldChar w:fldCharType="begin"/>
        </w:r>
        <w:r>
          <w:instrText xml:space="preserve"> PAGE   \* MERGEFORMAT </w:instrText>
        </w:r>
        <w:r>
          <w:fldChar w:fldCharType="separate"/>
        </w:r>
        <w:r w:rsidR="00DD6F4D">
          <w:rPr>
            <w:noProof/>
          </w:rPr>
          <w:t>4</w:t>
        </w:r>
        <w:r>
          <w:rPr>
            <w:noProof/>
          </w:rPr>
          <w:fldChar w:fldCharType="end"/>
        </w:r>
      </w:p>
    </w:sdtContent>
  </w:sdt>
  <w:p w14:paraId="31A2254E" w14:textId="77777777" w:rsidR="00331461" w:rsidRDefault="00331461">
    <w:pPr>
      <w:pStyle w:val="Footer"/>
    </w:pPr>
  </w:p>
  <w:p w14:paraId="46DE9F9B" w14:textId="77777777" w:rsidR="00746BD4" w:rsidRDefault="00746BD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0FAA56" w14:textId="77777777" w:rsidR="00942E3D" w:rsidRDefault="00942E3D" w:rsidP="00350565">
      <w:r>
        <w:separator/>
      </w:r>
    </w:p>
    <w:p w14:paraId="59067424" w14:textId="77777777" w:rsidR="00942E3D" w:rsidRDefault="00942E3D"/>
  </w:footnote>
  <w:footnote w:type="continuationSeparator" w:id="0">
    <w:p w14:paraId="5D437153" w14:textId="77777777" w:rsidR="00942E3D" w:rsidRDefault="00942E3D" w:rsidP="00350565">
      <w:r>
        <w:continuationSeparator/>
      </w:r>
    </w:p>
    <w:p w14:paraId="7F5F6167" w14:textId="77777777" w:rsidR="00942E3D" w:rsidRDefault="00942E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BCF692" w14:textId="77777777" w:rsidR="00325FB4" w:rsidRPr="00325FB4" w:rsidRDefault="00325FB4" w:rsidP="00325FB4">
    <w:pPr>
      <w:rPr>
        <w:rFonts w:eastAsia="Arial"/>
      </w:rPr>
    </w:pPr>
  </w:p>
  <w:p w14:paraId="236833AE" w14:textId="77777777" w:rsidR="00325FB4" w:rsidRPr="00325FB4" w:rsidRDefault="00325FB4" w:rsidP="00325FB4">
    <w:pPr>
      <w:rPr>
        <w:rFonts w:eastAsia="Arial"/>
      </w:rPr>
    </w:pPr>
  </w:p>
  <w:p w14:paraId="3AAFAC04" w14:textId="77777777" w:rsidR="00325FB4" w:rsidRDefault="00325FB4">
    <w:pPr>
      <w:pStyle w:val="Header"/>
    </w:pPr>
  </w:p>
  <w:p w14:paraId="7BE86AB6" w14:textId="77777777" w:rsidR="00746BD4" w:rsidRDefault="00746BD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AF5FC8"/>
    <w:multiLevelType w:val="hybridMultilevel"/>
    <w:tmpl w:val="946EB650"/>
    <w:lvl w:ilvl="0" w:tplc="D45A2CF4">
      <w:start w:val="1"/>
      <w:numFmt w:val="decimal"/>
      <w:lvlText w:val="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E52479"/>
    <w:multiLevelType w:val="hybridMultilevel"/>
    <w:tmpl w:val="82628942"/>
    <w:lvl w:ilvl="0" w:tplc="7E70195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E53346F"/>
    <w:multiLevelType w:val="hybridMultilevel"/>
    <w:tmpl w:val="7DFE1EDE"/>
    <w:lvl w:ilvl="0" w:tplc="8C760D6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F54F86"/>
    <w:multiLevelType w:val="hybridMultilevel"/>
    <w:tmpl w:val="1818A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D80222"/>
    <w:multiLevelType w:val="hybridMultilevel"/>
    <w:tmpl w:val="6C0212FE"/>
    <w:lvl w:ilvl="0" w:tplc="95B48ED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4873E7E"/>
    <w:multiLevelType w:val="hybridMultilevel"/>
    <w:tmpl w:val="A80C761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645071F"/>
    <w:multiLevelType w:val="hybridMultilevel"/>
    <w:tmpl w:val="8B98D45A"/>
    <w:lvl w:ilvl="0" w:tplc="9F4A4538">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B664931"/>
    <w:multiLevelType w:val="hybridMultilevel"/>
    <w:tmpl w:val="5EBE2494"/>
    <w:lvl w:ilvl="0" w:tplc="9F4A453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C371913"/>
    <w:multiLevelType w:val="hybridMultilevel"/>
    <w:tmpl w:val="63E0F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5A6EE8"/>
    <w:multiLevelType w:val="hybridMultilevel"/>
    <w:tmpl w:val="DEF031D4"/>
    <w:lvl w:ilvl="0" w:tplc="4748FA8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5543D74"/>
    <w:multiLevelType w:val="hybridMultilevel"/>
    <w:tmpl w:val="35CA1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A109BF"/>
    <w:multiLevelType w:val="hybridMultilevel"/>
    <w:tmpl w:val="48CAC668"/>
    <w:lvl w:ilvl="0" w:tplc="0504C31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34F9026B"/>
    <w:multiLevelType w:val="hybridMultilevel"/>
    <w:tmpl w:val="F188B4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974D9D"/>
    <w:multiLevelType w:val="hybridMultilevel"/>
    <w:tmpl w:val="7EDEA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CD0656"/>
    <w:multiLevelType w:val="hybridMultilevel"/>
    <w:tmpl w:val="A3207776"/>
    <w:lvl w:ilvl="0" w:tplc="9F4A453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16D4729"/>
    <w:multiLevelType w:val="hybridMultilevel"/>
    <w:tmpl w:val="82628942"/>
    <w:lvl w:ilvl="0" w:tplc="7E70195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C854396"/>
    <w:multiLevelType w:val="hybridMultilevel"/>
    <w:tmpl w:val="904C3E4C"/>
    <w:lvl w:ilvl="0" w:tplc="94E46F2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D9106DB"/>
    <w:multiLevelType w:val="hybridMultilevel"/>
    <w:tmpl w:val="BB10F24A"/>
    <w:lvl w:ilvl="0" w:tplc="9F4A45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261BB0"/>
    <w:multiLevelType w:val="hybridMultilevel"/>
    <w:tmpl w:val="021C6C3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125460"/>
    <w:multiLevelType w:val="hybridMultilevel"/>
    <w:tmpl w:val="29BA426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56D868D9"/>
    <w:multiLevelType w:val="hybridMultilevel"/>
    <w:tmpl w:val="E7ECF48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5C4212C5"/>
    <w:multiLevelType w:val="hybridMultilevel"/>
    <w:tmpl w:val="EB408D44"/>
    <w:lvl w:ilvl="0" w:tplc="61D48A6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5D066998"/>
    <w:multiLevelType w:val="hybridMultilevel"/>
    <w:tmpl w:val="5844C3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345E4E"/>
    <w:multiLevelType w:val="hybridMultilevel"/>
    <w:tmpl w:val="6016ACF0"/>
    <w:lvl w:ilvl="0" w:tplc="8C760D6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0A85EDD"/>
    <w:multiLevelType w:val="hybridMultilevel"/>
    <w:tmpl w:val="17A6B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829324C"/>
    <w:multiLevelType w:val="hybridMultilevel"/>
    <w:tmpl w:val="B53C717A"/>
    <w:lvl w:ilvl="0" w:tplc="D45A2CF4">
      <w:start w:val="1"/>
      <w:numFmt w:val="decimal"/>
      <w:lvlText w:val="A.%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B7072C7"/>
    <w:multiLevelType w:val="hybridMultilevel"/>
    <w:tmpl w:val="29BA426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6B8112DA"/>
    <w:multiLevelType w:val="hybridMultilevel"/>
    <w:tmpl w:val="C7467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D1F1380"/>
    <w:multiLevelType w:val="hybridMultilevel"/>
    <w:tmpl w:val="66A2C43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6F240039"/>
    <w:multiLevelType w:val="hybridMultilevel"/>
    <w:tmpl w:val="641AD2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D52F3B"/>
    <w:multiLevelType w:val="hybridMultilevel"/>
    <w:tmpl w:val="49583870"/>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74C869F0"/>
    <w:multiLevelType w:val="hybridMultilevel"/>
    <w:tmpl w:val="43EC4408"/>
    <w:lvl w:ilvl="0" w:tplc="159C6AC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EEB4EAB"/>
    <w:multiLevelType w:val="hybridMultilevel"/>
    <w:tmpl w:val="68CA6A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2"/>
  </w:num>
  <w:num w:numId="3">
    <w:abstractNumId w:val="29"/>
  </w:num>
  <w:num w:numId="4">
    <w:abstractNumId w:val="22"/>
  </w:num>
  <w:num w:numId="5">
    <w:abstractNumId w:val="32"/>
  </w:num>
  <w:num w:numId="6">
    <w:abstractNumId w:val="2"/>
  </w:num>
  <w:num w:numId="7">
    <w:abstractNumId w:val="23"/>
  </w:num>
  <w:num w:numId="8">
    <w:abstractNumId w:val="10"/>
  </w:num>
  <w:num w:numId="9">
    <w:abstractNumId w:val="18"/>
  </w:num>
  <w:num w:numId="10">
    <w:abstractNumId w:val="6"/>
  </w:num>
  <w:num w:numId="11">
    <w:abstractNumId w:val="7"/>
  </w:num>
  <w:num w:numId="12">
    <w:abstractNumId w:val="9"/>
  </w:num>
  <w:num w:numId="13">
    <w:abstractNumId w:val="14"/>
  </w:num>
  <w:num w:numId="14">
    <w:abstractNumId w:val="21"/>
  </w:num>
  <w:num w:numId="15">
    <w:abstractNumId w:val="4"/>
  </w:num>
  <w:num w:numId="16">
    <w:abstractNumId w:val="11"/>
  </w:num>
  <w:num w:numId="17">
    <w:abstractNumId w:val="31"/>
  </w:num>
  <w:num w:numId="18">
    <w:abstractNumId w:val="16"/>
  </w:num>
  <w:num w:numId="19">
    <w:abstractNumId w:val="1"/>
  </w:num>
  <w:num w:numId="20">
    <w:abstractNumId w:val="15"/>
  </w:num>
  <w:num w:numId="21">
    <w:abstractNumId w:val="25"/>
  </w:num>
  <w:num w:numId="22">
    <w:abstractNumId w:val="0"/>
  </w:num>
  <w:num w:numId="23">
    <w:abstractNumId w:val="20"/>
  </w:num>
  <w:num w:numId="24">
    <w:abstractNumId w:val="28"/>
  </w:num>
  <w:num w:numId="25">
    <w:abstractNumId w:val="5"/>
  </w:num>
  <w:num w:numId="26">
    <w:abstractNumId w:val="19"/>
  </w:num>
  <w:num w:numId="27">
    <w:abstractNumId w:val="26"/>
  </w:num>
  <w:num w:numId="28">
    <w:abstractNumId w:val="17"/>
  </w:num>
  <w:num w:numId="29">
    <w:abstractNumId w:val="30"/>
  </w:num>
  <w:num w:numId="30">
    <w:abstractNumId w:val="3"/>
  </w:num>
  <w:num w:numId="31">
    <w:abstractNumId w:val="27"/>
  </w:num>
  <w:num w:numId="32">
    <w:abstractNumId w:val="8"/>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546"/>
    <w:rsid w:val="00001078"/>
    <w:rsid w:val="00071A1B"/>
    <w:rsid w:val="000944AE"/>
    <w:rsid w:val="000B29D2"/>
    <w:rsid w:val="000C4D53"/>
    <w:rsid w:val="000D25E0"/>
    <w:rsid w:val="000E393A"/>
    <w:rsid w:val="000F1DD8"/>
    <w:rsid w:val="00116A27"/>
    <w:rsid w:val="00125729"/>
    <w:rsid w:val="001433A4"/>
    <w:rsid w:val="00162792"/>
    <w:rsid w:val="001A1F95"/>
    <w:rsid w:val="001A439D"/>
    <w:rsid w:val="00206667"/>
    <w:rsid w:val="002101EA"/>
    <w:rsid w:val="002158FC"/>
    <w:rsid w:val="00227F58"/>
    <w:rsid w:val="002511FE"/>
    <w:rsid w:val="0029060D"/>
    <w:rsid w:val="002B7157"/>
    <w:rsid w:val="002B77EA"/>
    <w:rsid w:val="002E2E69"/>
    <w:rsid w:val="00300D0C"/>
    <w:rsid w:val="00325FB4"/>
    <w:rsid w:val="00331461"/>
    <w:rsid w:val="00350565"/>
    <w:rsid w:val="0035429C"/>
    <w:rsid w:val="00383A15"/>
    <w:rsid w:val="003B3504"/>
    <w:rsid w:val="00421E1B"/>
    <w:rsid w:val="00435E5F"/>
    <w:rsid w:val="00436654"/>
    <w:rsid w:val="00445F37"/>
    <w:rsid w:val="00447F01"/>
    <w:rsid w:val="0047667A"/>
    <w:rsid w:val="00487D49"/>
    <w:rsid w:val="005000BF"/>
    <w:rsid w:val="00505CCF"/>
    <w:rsid w:val="00513FDA"/>
    <w:rsid w:val="005468AF"/>
    <w:rsid w:val="00550D22"/>
    <w:rsid w:val="0057224E"/>
    <w:rsid w:val="00575DC8"/>
    <w:rsid w:val="00583B22"/>
    <w:rsid w:val="005965C4"/>
    <w:rsid w:val="005E1D97"/>
    <w:rsid w:val="005E4693"/>
    <w:rsid w:val="005F21F0"/>
    <w:rsid w:val="006006D2"/>
    <w:rsid w:val="006273EC"/>
    <w:rsid w:val="00640F7E"/>
    <w:rsid w:val="00644616"/>
    <w:rsid w:val="006629DE"/>
    <w:rsid w:val="0069725E"/>
    <w:rsid w:val="006D461D"/>
    <w:rsid w:val="00720F2B"/>
    <w:rsid w:val="00746BD4"/>
    <w:rsid w:val="007627ED"/>
    <w:rsid w:val="00764B7F"/>
    <w:rsid w:val="00776CD6"/>
    <w:rsid w:val="0077762D"/>
    <w:rsid w:val="007B4BC3"/>
    <w:rsid w:val="007E0B8F"/>
    <w:rsid w:val="007E7882"/>
    <w:rsid w:val="007F276C"/>
    <w:rsid w:val="007F68B8"/>
    <w:rsid w:val="00847FB9"/>
    <w:rsid w:val="00855E9C"/>
    <w:rsid w:val="008C130D"/>
    <w:rsid w:val="008E4D9F"/>
    <w:rsid w:val="00926569"/>
    <w:rsid w:val="0093157F"/>
    <w:rsid w:val="00942E3D"/>
    <w:rsid w:val="00954D27"/>
    <w:rsid w:val="00966821"/>
    <w:rsid w:val="009A2C22"/>
    <w:rsid w:val="009F2043"/>
    <w:rsid w:val="00A14D5C"/>
    <w:rsid w:val="00A315BC"/>
    <w:rsid w:val="00A6150B"/>
    <w:rsid w:val="00A77A5C"/>
    <w:rsid w:val="00A83531"/>
    <w:rsid w:val="00A905E5"/>
    <w:rsid w:val="00A9595C"/>
    <w:rsid w:val="00AD05F0"/>
    <w:rsid w:val="00AE0C53"/>
    <w:rsid w:val="00AE1A17"/>
    <w:rsid w:val="00AE6E01"/>
    <w:rsid w:val="00B009D3"/>
    <w:rsid w:val="00B017CB"/>
    <w:rsid w:val="00B23ED4"/>
    <w:rsid w:val="00B72052"/>
    <w:rsid w:val="00B7360A"/>
    <w:rsid w:val="00B77A86"/>
    <w:rsid w:val="00BC11BD"/>
    <w:rsid w:val="00BC4A5F"/>
    <w:rsid w:val="00BE5546"/>
    <w:rsid w:val="00C17552"/>
    <w:rsid w:val="00C3135C"/>
    <w:rsid w:val="00C32966"/>
    <w:rsid w:val="00C74353"/>
    <w:rsid w:val="00CB1F01"/>
    <w:rsid w:val="00CC301E"/>
    <w:rsid w:val="00D26CED"/>
    <w:rsid w:val="00D35ECE"/>
    <w:rsid w:val="00D606C5"/>
    <w:rsid w:val="00D701FD"/>
    <w:rsid w:val="00D724DF"/>
    <w:rsid w:val="00D7262A"/>
    <w:rsid w:val="00D77DA7"/>
    <w:rsid w:val="00D82BA3"/>
    <w:rsid w:val="00D83808"/>
    <w:rsid w:val="00DB6033"/>
    <w:rsid w:val="00DD6F4D"/>
    <w:rsid w:val="00DE2588"/>
    <w:rsid w:val="00DE7C18"/>
    <w:rsid w:val="00E0649D"/>
    <w:rsid w:val="00E1505E"/>
    <w:rsid w:val="00E24714"/>
    <w:rsid w:val="00E45D16"/>
    <w:rsid w:val="00E50814"/>
    <w:rsid w:val="00E8339C"/>
    <w:rsid w:val="00EA01EA"/>
    <w:rsid w:val="00EA1359"/>
    <w:rsid w:val="00EB16B9"/>
    <w:rsid w:val="00EB52B6"/>
    <w:rsid w:val="00EB5928"/>
    <w:rsid w:val="00F25CAF"/>
    <w:rsid w:val="00F47C86"/>
    <w:rsid w:val="00F80CBA"/>
    <w:rsid w:val="00FB4CCA"/>
    <w:rsid w:val="00FD0A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574AE"/>
  <w15:chartTrackingRefBased/>
  <w15:docId w15:val="{99B4C396-8B4F-4BA7-B92A-AEC7EA920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5546"/>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BE554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E554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575DC8"/>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E5546"/>
    <w:rPr>
      <w:color w:val="0000FF"/>
      <w:u w:val="single"/>
    </w:rPr>
  </w:style>
  <w:style w:type="paragraph" w:customStyle="1" w:styleId="MediumGrid1-Accent21">
    <w:name w:val="Medium Grid 1 - Accent 21"/>
    <w:basedOn w:val="Normal"/>
    <w:rsid w:val="00BE5546"/>
    <w:pPr>
      <w:suppressAutoHyphens/>
      <w:spacing w:after="200" w:line="276" w:lineRule="auto"/>
      <w:ind w:left="720"/>
    </w:pPr>
    <w:rPr>
      <w:rFonts w:ascii="Calibri" w:eastAsia="Calibri" w:hAnsi="Calibri"/>
      <w:sz w:val="22"/>
      <w:szCs w:val="22"/>
      <w:lang w:eastAsia="ar-SA"/>
    </w:rPr>
  </w:style>
  <w:style w:type="paragraph" w:styleId="ListParagraph">
    <w:name w:val="List Paragraph"/>
    <w:basedOn w:val="Normal"/>
    <w:uiPriority w:val="34"/>
    <w:qFormat/>
    <w:rsid w:val="00BE5546"/>
    <w:pPr>
      <w:ind w:left="720"/>
      <w:contextualSpacing/>
    </w:pPr>
  </w:style>
  <w:style w:type="paragraph" w:styleId="IntenseQuote">
    <w:name w:val="Intense Quote"/>
    <w:basedOn w:val="Normal"/>
    <w:next w:val="Normal"/>
    <w:link w:val="IntenseQuoteChar"/>
    <w:uiPriority w:val="30"/>
    <w:qFormat/>
    <w:rsid w:val="00BE5546"/>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BE5546"/>
    <w:rPr>
      <w:rFonts w:ascii="Times New Roman" w:eastAsia="Times New Roman" w:hAnsi="Times New Roman" w:cs="Times New Roman"/>
      <w:i/>
      <w:iCs/>
      <w:color w:val="5B9BD5" w:themeColor="accent1"/>
      <w:sz w:val="20"/>
      <w:szCs w:val="20"/>
    </w:rPr>
  </w:style>
  <w:style w:type="character" w:customStyle="1" w:styleId="Heading1Char">
    <w:name w:val="Heading 1 Char"/>
    <w:basedOn w:val="DefaultParagraphFont"/>
    <w:link w:val="Heading1"/>
    <w:uiPriority w:val="9"/>
    <w:rsid w:val="00BE5546"/>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BE5546"/>
    <w:rPr>
      <w:rFonts w:asciiTheme="majorHAnsi" w:eastAsiaTheme="majorEastAsia" w:hAnsiTheme="majorHAnsi" w:cstheme="majorBidi"/>
      <w:color w:val="2E74B5" w:themeColor="accent1" w:themeShade="BF"/>
      <w:sz w:val="26"/>
      <w:szCs w:val="26"/>
    </w:rPr>
  </w:style>
  <w:style w:type="character" w:styleId="FollowedHyperlink">
    <w:name w:val="FollowedHyperlink"/>
    <w:basedOn w:val="DefaultParagraphFont"/>
    <w:uiPriority w:val="99"/>
    <w:semiHidden/>
    <w:unhideWhenUsed/>
    <w:rsid w:val="006629DE"/>
    <w:rPr>
      <w:color w:val="954F72" w:themeColor="followedHyperlink"/>
      <w:u w:val="single"/>
    </w:rPr>
  </w:style>
  <w:style w:type="paragraph" w:styleId="FootnoteText">
    <w:name w:val="footnote text"/>
    <w:basedOn w:val="Normal"/>
    <w:link w:val="FootnoteTextChar"/>
    <w:uiPriority w:val="99"/>
    <w:semiHidden/>
    <w:unhideWhenUsed/>
    <w:rsid w:val="00350565"/>
  </w:style>
  <w:style w:type="character" w:customStyle="1" w:styleId="FootnoteTextChar">
    <w:name w:val="Footnote Text Char"/>
    <w:basedOn w:val="DefaultParagraphFont"/>
    <w:link w:val="FootnoteText"/>
    <w:uiPriority w:val="99"/>
    <w:semiHidden/>
    <w:rsid w:val="00350565"/>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350565"/>
    <w:rPr>
      <w:vertAlign w:val="superscript"/>
    </w:rPr>
  </w:style>
  <w:style w:type="paragraph" w:styleId="Header">
    <w:name w:val="header"/>
    <w:basedOn w:val="Normal"/>
    <w:link w:val="HeaderChar"/>
    <w:uiPriority w:val="99"/>
    <w:unhideWhenUsed/>
    <w:rsid w:val="00325FB4"/>
    <w:pPr>
      <w:tabs>
        <w:tab w:val="center" w:pos="4680"/>
        <w:tab w:val="right" w:pos="9360"/>
      </w:tabs>
    </w:pPr>
  </w:style>
  <w:style w:type="character" w:customStyle="1" w:styleId="HeaderChar">
    <w:name w:val="Header Char"/>
    <w:basedOn w:val="DefaultParagraphFont"/>
    <w:link w:val="Header"/>
    <w:uiPriority w:val="99"/>
    <w:rsid w:val="00325FB4"/>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325FB4"/>
    <w:pPr>
      <w:tabs>
        <w:tab w:val="center" w:pos="4680"/>
        <w:tab w:val="right" w:pos="9360"/>
      </w:tabs>
    </w:pPr>
  </w:style>
  <w:style w:type="character" w:customStyle="1" w:styleId="FooterChar">
    <w:name w:val="Footer Char"/>
    <w:basedOn w:val="DefaultParagraphFont"/>
    <w:link w:val="Footer"/>
    <w:uiPriority w:val="99"/>
    <w:rsid w:val="00325FB4"/>
    <w:rPr>
      <w:rFonts w:ascii="Times New Roman" w:eastAsia="Times New Roman" w:hAnsi="Times New Roman" w:cs="Times New Roman"/>
      <w:sz w:val="20"/>
      <w:szCs w:val="20"/>
    </w:rPr>
  </w:style>
  <w:style w:type="character" w:customStyle="1" w:styleId="Heading3Char">
    <w:name w:val="Heading 3 Char"/>
    <w:basedOn w:val="DefaultParagraphFont"/>
    <w:link w:val="Heading3"/>
    <w:uiPriority w:val="9"/>
    <w:rsid w:val="00575DC8"/>
    <w:rPr>
      <w:rFonts w:asciiTheme="majorHAnsi" w:eastAsiaTheme="majorEastAsia" w:hAnsiTheme="majorHAnsi" w:cstheme="majorBidi"/>
      <w:color w:val="1F4D78" w:themeColor="accent1" w:themeShade="7F"/>
      <w:sz w:val="24"/>
      <w:szCs w:val="24"/>
    </w:rPr>
  </w:style>
  <w:style w:type="paragraph" w:styleId="NoSpacing">
    <w:name w:val="No Spacing"/>
    <w:uiPriority w:val="1"/>
    <w:qFormat/>
    <w:rsid w:val="006D461D"/>
    <w:pPr>
      <w:spacing w:after="0" w:line="240" w:lineRule="auto"/>
    </w:pPr>
    <w:rPr>
      <w:rFonts w:ascii="Times New Roman" w:eastAsia="Times New Roman" w:hAnsi="Times New Roman" w:cs="Times New Roman"/>
      <w:sz w:val="20"/>
      <w:szCs w:val="20"/>
    </w:rPr>
  </w:style>
  <w:style w:type="character" w:customStyle="1" w:styleId="UnresolvedMention1">
    <w:name w:val="Unresolved Mention1"/>
    <w:basedOn w:val="DefaultParagraphFont"/>
    <w:uiPriority w:val="99"/>
    <w:semiHidden/>
    <w:unhideWhenUsed/>
    <w:rsid w:val="0035429C"/>
    <w:rPr>
      <w:color w:val="605E5C"/>
      <w:shd w:val="clear" w:color="auto" w:fill="E1DFDD"/>
    </w:rPr>
  </w:style>
  <w:style w:type="character" w:styleId="UnresolvedMention">
    <w:name w:val="Unresolved Mention"/>
    <w:basedOn w:val="DefaultParagraphFont"/>
    <w:uiPriority w:val="99"/>
    <w:semiHidden/>
    <w:unhideWhenUsed/>
    <w:rsid w:val="00FD0A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4620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pperedge.com/sap/wipro-responds-to-national-grids-sap-implementation-billion-dollar-lawsuit"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hirdstage-consulting.com/lessons-from-the-national-grid-v-wipro-sap-lawsui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businessinsider.com/national-grid-sap-1-billion-upgrade-cost-2014-10" TargetMode="External"/><Relationship Id="rId4" Type="http://schemas.openxmlformats.org/officeDocument/2006/relationships/settings" Target="settings.xml"/><Relationship Id="rId9" Type="http://schemas.openxmlformats.org/officeDocument/2006/relationships/hyperlink" Target="https://www.brightworkresearch.com/how-national-grids-sap-implementation-damaged-a-company/"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30139E-A143-4534-B1C3-AD5F018E7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5</Pages>
  <Words>977</Words>
  <Characters>5624</Characters>
  <Application>Microsoft Office Word</Application>
  <DocSecurity>0</DocSecurity>
  <Lines>130</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kohnkean@udmercy.edu</dc:creator>
  <cp:keywords/>
  <dc:description/>
  <cp:lastModifiedBy>Anne Kohnke</cp:lastModifiedBy>
  <cp:revision>7</cp:revision>
  <dcterms:created xsi:type="dcterms:W3CDTF">2021-04-02T13:57:00Z</dcterms:created>
  <dcterms:modified xsi:type="dcterms:W3CDTF">2021-04-07T12:33:00Z</dcterms:modified>
</cp:coreProperties>
</file>